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788E0" w14:textId="2AF2755C" w:rsidR="009565CE" w:rsidRDefault="009565CE" w:rsidP="00D20AE9">
      <w:pPr>
        <w:jc w:val="center"/>
        <w:rPr>
          <w:b/>
          <w:bCs/>
        </w:rPr>
      </w:pPr>
      <w:r>
        <w:rPr>
          <w:b/>
          <w:bCs/>
          <w:noProof/>
          <w:lang w:eastAsia="en-GB"/>
        </w:rPr>
        <w:drawing>
          <wp:inline distT="0" distB="0" distL="0" distR="0" wp14:anchorId="328D20F7" wp14:editId="7F28E13D">
            <wp:extent cx="1607019" cy="886277"/>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0617" cy="954442"/>
                    </a:xfrm>
                    <a:prstGeom prst="rect">
                      <a:avLst/>
                    </a:prstGeom>
                  </pic:spPr>
                </pic:pic>
              </a:graphicData>
            </a:graphic>
          </wp:inline>
        </w:drawing>
      </w:r>
    </w:p>
    <w:p w14:paraId="1E92FA37" w14:textId="773256C4" w:rsidR="00D20AE9" w:rsidRPr="00E40015" w:rsidRDefault="00D20AE9" w:rsidP="00D20AE9">
      <w:pPr>
        <w:jc w:val="center"/>
        <w:rPr>
          <w:b/>
          <w:bCs/>
        </w:rPr>
      </w:pPr>
      <w:r w:rsidRPr="00E40015">
        <w:rPr>
          <w:b/>
          <w:bCs/>
        </w:rPr>
        <w:t>Covid Catch Up Premium</w:t>
      </w:r>
    </w:p>
    <w:tbl>
      <w:tblPr>
        <w:tblStyle w:val="TableGrid"/>
        <w:tblW w:w="0" w:type="auto"/>
        <w:tblLook w:val="04A0" w:firstRow="1" w:lastRow="0" w:firstColumn="1" w:lastColumn="0" w:noHBand="0" w:noVBand="1"/>
      </w:tblPr>
      <w:tblGrid>
        <w:gridCol w:w="2324"/>
        <w:gridCol w:w="2325"/>
        <w:gridCol w:w="2325"/>
        <w:gridCol w:w="2324"/>
        <w:gridCol w:w="2325"/>
        <w:gridCol w:w="2325"/>
      </w:tblGrid>
      <w:tr w:rsidR="00D20AE9" w14:paraId="7442DDDF" w14:textId="77777777" w:rsidTr="00D20AE9">
        <w:tc>
          <w:tcPr>
            <w:tcW w:w="13948" w:type="dxa"/>
            <w:gridSpan w:val="6"/>
            <w:shd w:val="clear" w:color="auto" w:fill="FFE599" w:themeFill="accent4" w:themeFillTint="66"/>
          </w:tcPr>
          <w:p w14:paraId="7BE3FBE1" w14:textId="06C96312" w:rsidR="00D20AE9" w:rsidRPr="00D20AE9" w:rsidRDefault="00D20AE9" w:rsidP="00D20AE9">
            <w:pPr>
              <w:rPr>
                <w:b/>
                <w:bCs/>
              </w:rPr>
            </w:pPr>
            <w:r w:rsidRPr="00D20AE9">
              <w:rPr>
                <w:b/>
                <w:bCs/>
              </w:rPr>
              <w:t>Summary information</w:t>
            </w:r>
          </w:p>
        </w:tc>
      </w:tr>
      <w:tr w:rsidR="00D20AE9" w14:paraId="66688024" w14:textId="77777777" w:rsidTr="00D20AE9">
        <w:tc>
          <w:tcPr>
            <w:tcW w:w="13948" w:type="dxa"/>
            <w:gridSpan w:val="6"/>
          </w:tcPr>
          <w:p w14:paraId="4446AD05" w14:textId="76EA6BB3" w:rsidR="00D20AE9" w:rsidRPr="00D20AE9" w:rsidRDefault="00D20AE9" w:rsidP="00D20AE9">
            <w:pPr>
              <w:rPr>
                <w:b/>
                <w:bCs/>
              </w:rPr>
            </w:pPr>
            <w:r w:rsidRPr="00D20AE9">
              <w:rPr>
                <w:b/>
                <w:bCs/>
              </w:rPr>
              <w:t>School: Oaktree Nursery and Primary School</w:t>
            </w:r>
          </w:p>
        </w:tc>
      </w:tr>
      <w:tr w:rsidR="00D20AE9" w14:paraId="37570F1A" w14:textId="77777777" w:rsidTr="0057050D">
        <w:tc>
          <w:tcPr>
            <w:tcW w:w="2324" w:type="dxa"/>
          </w:tcPr>
          <w:p w14:paraId="023F793E" w14:textId="1F8711D6" w:rsidR="00D20AE9" w:rsidRPr="00D20AE9" w:rsidRDefault="00D20AE9" w:rsidP="00D20AE9">
            <w:pPr>
              <w:rPr>
                <w:b/>
                <w:bCs/>
              </w:rPr>
            </w:pPr>
            <w:r w:rsidRPr="00D20AE9">
              <w:rPr>
                <w:b/>
                <w:bCs/>
              </w:rPr>
              <w:t xml:space="preserve">Academic Year </w:t>
            </w:r>
          </w:p>
          <w:p w14:paraId="4C3233B0" w14:textId="77777777" w:rsidR="00D20AE9" w:rsidRDefault="00D20AE9" w:rsidP="00D20AE9"/>
        </w:tc>
        <w:tc>
          <w:tcPr>
            <w:tcW w:w="2325" w:type="dxa"/>
          </w:tcPr>
          <w:p w14:paraId="3CF5D65B" w14:textId="1BC40C4C" w:rsidR="00D20AE9" w:rsidRDefault="00D20AE9" w:rsidP="00D20AE9">
            <w:r>
              <w:t>2020-21</w:t>
            </w:r>
          </w:p>
        </w:tc>
        <w:tc>
          <w:tcPr>
            <w:tcW w:w="2325" w:type="dxa"/>
          </w:tcPr>
          <w:p w14:paraId="3E2D3EB8" w14:textId="5AE577CA" w:rsidR="00D20AE9" w:rsidRPr="00D20AE9" w:rsidRDefault="00D20AE9" w:rsidP="00D20AE9">
            <w:pPr>
              <w:rPr>
                <w:b/>
                <w:bCs/>
              </w:rPr>
            </w:pPr>
            <w:r w:rsidRPr="00D20AE9">
              <w:rPr>
                <w:b/>
                <w:bCs/>
              </w:rPr>
              <w:t xml:space="preserve">Total Catch-Up Premium </w:t>
            </w:r>
          </w:p>
        </w:tc>
        <w:tc>
          <w:tcPr>
            <w:tcW w:w="2324" w:type="dxa"/>
          </w:tcPr>
          <w:p w14:paraId="3D49F36F" w14:textId="1FF9B5A0" w:rsidR="00D20AE9" w:rsidRDefault="00D20AE9" w:rsidP="00D20AE9">
            <w:r>
              <w:t>£</w:t>
            </w:r>
            <w:r w:rsidR="00057FF3">
              <w:t>24,960</w:t>
            </w:r>
          </w:p>
          <w:p w14:paraId="68CBF4A1" w14:textId="5EC9AAD9" w:rsidR="00D20AE9" w:rsidRDefault="00D20AE9" w:rsidP="00D20AE9"/>
        </w:tc>
        <w:tc>
          <w:tcPr>
            <w:tcW w:w="2325" w:type="dxa"/>
          </w:tcPr>
          <w:p w14:paraId="19FFD557" w14:textId="77777777" w:rsidR="00D20AE9" w:rsidRPr="00D20AE9" w:rsidRDefault="00D20AE9" w:rsidP="00D20AE9">
            <w:pPr>
              <w:rPr>
                <w:b/>
                <w:bCs/>
              </w:rPr>
            </w:pPr>
            <w:r w:rsidRPr="00D20AE9">
              <w:rPr>
                <w:b/>
                <w:bCs/>
              </w:rPr>
              <w:t>Number of pupils:</w:t>
            </w:r>
          </w:p>
          <w:p w14:paraId="7374B1E1" w14:textId="77777777" w:rsidR="00D20AE9" w:rsidRDefault="00D20AE9" w:rsidP="00D20AE9"/>
        </w:tc>
        <w:tc>
          <w:tcPr>
            <w:tcW w:w="2325" w:type="dxa"/>
          </w:tcPr>
          <w:p w14:paraId="5208D16C" w14:textId="419352EA" w:rsidR="00D20AE9" w:rsidRDefault="00D20AE9" w:rsidP="00D20AE9">
            <w:r>
              <w:t>312</w:t>
            </w:r>
          </w:p>
        </w:tc>
      </w:tr>
    </w:tbl>
    <w:p w14:paraId="08A1713A" w14:textId="1A9E800C" w:rsidR="00D20AE9" w:rsidRDefault="00D20AE9" w:rsidP="00D20AE9"/>
    <w:tbl>
      <w:tblPr>
        <w:tblStyle w:val="TableGrid"/>
        <w:tblW w:w="0" w:type="auto"/>
        <w:tblLook w:val="04A0" w:firstRow="1" w:lastRow="0" w:firstColumn="1" w:lastColumn="0" w:noHBand="0" w:noVBand="1"/>
      </w:tblPr>
      <w:tblGrid>
        <w:gridCol w:w="6974"/>
        <w:gridCol w:w="6974"/>
      </w:tblGrid>
      <w:tr w:rsidR="00D20AE9" w14:paraId="1AAE2629" w14:textId="77777777" w:rsidTr="00D20AE9">
        <w:tc>
          <w:tcPr>
            <w:tcW w:w="13948" w:type="dxa"/>
            <w:gridSpan w:val="2"/>
            <w:shd w:val="clear" w:color="auto" w:fill="FFE599" w:themeFill="accent4" w:themeFillTint="66"/>
          </w:tcPr>
          <w:p w14:paraId="6F974E92" w14:textId="33D30051" w:rsidR="00D20AE9" w:rsidRPr="00D20AE9" w:rsidRDefault="00D20AE9" w:rsidP="00D20AE9">
            <w:pPr>
              <w:rPr>
                <w:b/>
                <w:bCs/>
              </w:rPr>
            </w:pPr>
            <w:r w:rsidRPr="00D20AE9">
              <w:rPr>
                <w:b/>
                <w:bCs/>
              </w:rPr>
              <w:t>Guidance</w:t>
            </w:r>
          </w:p>
        </w:tc>
      </w:tr>
      <w:tr w:rsidR="00D20AE9" w14:paraId="5E2C2251" w14:textId="77777777" w:rsidTr="008D53B9">
        <w:tc>
          <w:tcPr>
            <w:tcW w:w="13948" w:type="dxa"/>
            <w:gridSpan w:val="2"/>
          </w:tcPr>
          <w:p w14:paraId="7747836C" w14:textId="213D4CBE" w:rsidR="00D20AE9" w:rsidRDefault="00D20AE9" w:rsidP="00D20AE9">
            <w:r>
              <w:t xml:space="preserve">Children and young people across the country have experienced unprecedented disruption to their education as a result of </w:t>
            </w:r>
            <w:r w:rsidR="009565CE">
              <w:t>C</w:t>
            </w:r>
            <w:r>
              <w:t>oronavirus (COVID-19). Those from the most vulnerable and disadvantaged backgrounds will be among those hardest hit. The aggregate impact of lost time in education will be</w:t>
            </w:r>
          </w:p>
          <w:p w14:paraId="0D89AE3D" w14:textId="77777777" w:rsidR="00D20AE9" w:rsidRDefault="00D20AE9" w:rsidP="00D20AE9">
            <w:r>
              <w:t>substantial, and the scale of our response must match the scale of the challenge.</w:t>
            </w:r>
          </w:p>
          <w:p w14:paraId="33CB3A59" w14:textId="77777777" w:rsidR="00821CAA" w:rsidRDefault="00821CAA" w:rsidP="00D20AE9"/>
          <w:p w14:paraId="493A7020" w14:textId="65316A63" w:rsidR="00D20AE9" w:rsidRDefault="00D20AE9" w:rsidP="00D20AE9">
            <w:r>
              <w:t>Schools’ allocations will be calculated on a per pupil basis, providing each mainstream school with a total of £80 for each pupil in years reception through to</w:t>
            </w:r>
            <w:r w:rsidR="00821CAA">
              <w:t xml:space="preserve"> </w:t>
            </w:r>
            <w:r>
              <w:t>11.</w:t>
            </w:r>
          </w:p>
          <w:p w14:paraId="4E30E527" w14:textId="77777777" w:rsidR="00821CAA" w:rsidRDefault="00821CAA" w:rsidP="00D20AE9"/>
          <w:p w14:paraId="61EC6A71" w14:textId="25693633" w:rsidR="00D20AE9" w:rsidRDefault="00D20AE9" w:rsidP="00D20AE9">
            <w:r>
              <w:t xml:space="preserve">As the catch-up premium has been designed to mitigate the effects of the unique disruption caused by </w:t>
            </w:r>
            <w:r w:rsidR="009565CE">
              <w:t>C</w:t>
            </w:r>
            <w:r>
              <w:t>oronavirus (COVID-19), the grant will only be</w:t>
            </w:r>
          </w:p>
          <w:p w14:paraId="1D33901B" w14:textId="45BC63B1" w:rsidR="00D20AE9" w:rsidRDefault="00D20AE9" w:rsidP="00D20AE9">
            <w:r>
              <w:t>available for the 2020 to 2021 academic year. It will not be added to schools’ baselines in calculating future years’ funding allocations.</w:t>
            </w:r>
          </w:p>
        </w:tc>
      </w:tr>
      <w:tr w:rsidR="00D20AE9" w14:paraId="6525BB78" w14:textId="77777777" w:rsidTr="00821CAA">
        <w:tc>
          <w:tcPr>
            <w:tcW w:w="6974" w:type="dxa"/>
            <w:shd w:val="clear" w:color="auto" w:fill="FFE599" w:themeFill="accent4" w:themeFillTint="66"/>
          </w:tcPr>
          <w:p w14:paraId="25FAB4C2" w14:textId="572DC759" w:rsidR="00D20AE9" w:rsidRPr="00821CAA" w:rsidRDefault="00D20AE9" w:rsidP="00D20AE9">
            <w:pPr>
              <w:rPr>
                <w:b/>
                <w:bCs/>
              </w:rPr>
            </w:pPr>
            <w:r w:rsidRPr="00821CAA">
              <w:rPr>
                <w:b/>
                <w:bCs/>
              </w:rPr>
              <w:t>Use of Funds</w:t>
            </w:r>
          </w:p>
        </w:tc>
        <w:tc>
          <w:tcPr>
            <w:tcW w:w="6974" w:type="dxa"/>
            <w:shd w:val="clear" w:color="auto" w:fill="FFE599" w:themeFill="accent4" w:themeFillTint="66"/>
          </w:tcPr>
          <w:p w14:paraId="1DF5435B" w14:textId="60A1CF98" w:rsidR="00D20AE9" w:rsidRPr="00821CAA" w:rsidRDefault="00D20AE9" w:rsidP="00D20AE9">
            <w:pPr>
              <w:rPr>
                <w:b/>
                <w:bCs/>
              </w:rPr>
            </w:pPr>
            <w:r w:rsidRPr="00821CAA">
              <w:rPr>
                <w:b/>
                <w:bCs/>
              </w:rPr>
              <w:t>EEF Recommendations</w:t>
            </w:r>
          </w:p>
        </w:tc>
      </w:tr>
      <w:tr w:rsidR="00D20AE9" w14:paraId="6E0D37A1" w14:textId="77777777" w:rsidTr="00D20AE9">
        <w:tc>
          <w:tcPr>
            <w:tcW w:w="6974" w:type="dxa"/>
          </w:tcPr>
          <w:p w14:paraId="3F2C4290" w14:textId="77777777" w:rsidR="00D20AE9" w:rsidRDefault="00D20AE9" w:rsidP="00D20AE9">
            <w:r>
              <w:t>Schools should use this funding for specific activities to support their pupils</w:t>
            </w:r>
          </w:p>
          <w:p w14:paraId="20025340" w14:textId="77777777" w:rsidR="00D20AE9" w:rsidRDefault="00D20AE9" w:rsidP="00D20AE9">
            <w:r>
              <w:t>to catch up for lost teaching over the previous months, in line with the</w:t>
            </w:r>
          </w:p>
          <w:p w14:paraId="144075ED" w14:textId="77777777" w:rsidR="00D20AE9" w:rsidRDefault="00D20AE9" w:rsidP="00D20AE9">
            <w:r>
              <w:t>guidance on curriculum expectations for the next academic year.</w:t>
            </w:r>
          </w:p>
          <w:p w14:paraId="0EA1C1F2" w14:textId="77777777" w:rsidR="00821CAA" w:rsidRDefault="00821CAA" w:rsidP="00D20AE9"/>
          <w:p w14:paraId="07F8B701" w14:textId="44D3DBBD" w:rsidR="00D20AE9" w:rsidRDefault="00D20AE9" w:rsidP="00D20AE9">
            <w:r>
              <w:t>Schools have the flexibility to spend their funding in the best way for their</w:t>
            </w:r>
          </w:p>
          <w:p w14:paraId="6B9153CA" w14:textId="77777777" w:rsidR="00D20AE9" w:rsidRDefault="00D20AE9" w:rsidP="00D20AE9">
            <w:r>
              <w:t>cohort and circumstances.</w:t>
            </w:r>
          </w:p>
          <w:p w14:paraId="2A65D6F9" w14:textId="77777777" w:rsidR="00821CAA" w:rsidRDefault="00821CAA" w:rsidP="00D20AE9"/>
          <w:p w14:paraId="41484F97" w14:textId="6E9A240C" w:rsidR="00D20AE9" w:rsidRDefault="00D20AE9" w:rsidP="00D20AE9">
            <w:r>
              <w:t>To support schools to make the best use of this funding, the Education</w:t>
            </w:r>
          </w:p>
          <w:p w14:paraId="0E221A37" w14:textId="77777777" w:rsidR="00D20AE9" w:rsidRDefault="00D20AE9" w:rsidP="00D20AE9">
            <w:r>
              <w:lastRenderedPageBreak/>
              <w:t>Endowment Foundation (EEF) has published a coronavirus (COVID-19)</w:t>
            </w:r>
          </w:p>
          <w:p w14:paraId="3CB14C0F" w14:textId="0EDA1BCE" w:rsidR="00D20AE9" w:rsidRDefault="00D20AE9" w:rsidP="00D20AE9">
            <w:r>
              <w:t>support guide for schools with evidence-based approaches to catch up for all</w:t>
            </w:r>
            <w:r w:rsidR="00821CAA">
              <w:t xml:space="preserve"> </w:t>
            </w:r>
            <w:r>
              <w:t>students. Schools should use this document to help them direct their</w:t>
            </w:r>
          </w:p>
          <w:p w14:paraId="7B68750C" w14:textId="78BFBB5B" w:rsidR="00D20AE9" w:rsidRDefault="00D20AE9" w:rsidP="00D20AE9">
            <w:r>
              <w:t>additional funding in the most effective way.</w:t>
            </w:r>
          </w:p>
        </w:tc>
        <w:tc>
          <w:tcPr>
            <w:tcW w:w="6974" w:type="dxa"/>
          </w:tcPr>
          <w:p w14:paraId="53F2D8E9" w14:textId="60696E59" w:rsidR="00D20AE9" w:rsidRDefault="00D20AE9" w:rsidP="00D20AE9">
            <w:r>
              <w:lastRenderedPageBreak/>
              <w:t>The EEF advises the following:</w:t>
            </w:r>
          </w:p>
          <w:p w14:paraId="47BB353B" w14:textId="77777777" w:rsidR="00821CAA" w:rsidRDefault="00821CAA" w:rsidP="00D20AE9"/>
          <w:p w14:paraId="26784F98" w14:textId="77777777" w:rsidR="00D20AE9" w:rsidRPr="00821CAA" w:rsidRDefault="00D20AE9" w:rsidP="00D20AE9">
            <w:pPr>
              <w:rPr>
                <w:b/>
                <w:bCs/>
              </w:rPr>
            </w:pPr>
            <w:r w:rsidRPr="00821CAA">
              <w:rPr>
                <w:b/>
                <w:bCs/>
              </w:rPr>
              <w:t>Teaching and whole school strategies</w:t>
            </w:r>
          </w:p>
          <w:p w14:paraId="709231BD" w14:textId="77777777" w:rsidR="00D20AE9" w:rsidRDefault="00D20AE9" w:rsidP="00D20AE9">
            <w:r>
              <w:rPr>
                <w:rFonts w:ascii="Segoe UI Symbol" w:hAnsi="Segoe UI Symbol" w:cs="Segoe UI Symbol"/>
              </w:rPr>
              <w:t>⮚</w:t>
            </w:r>
            <w:r>
              <w:t xml:space="preserve"> Supporting great teaching</w:t>
            </w:r>
          </w:p>
          <w:p w14:paraId="338B105A" w14:textId="77777777" w:rsidR="00D20AE9" w:rsidRDefault="00D20AE9" w:rsidP="00D20AE9">
            <w:r>
              <w:rPr>
                <w:rFonts w:ascii="Segoe UI Symbol" w:hAnsi="Segoe UI Symbol" w:cs="Segoe UI Symbol"/>
              </w:rPr>
              <w:t>⮚</w:t>
            </w:r>
            <w:r>
              <w:t xml:space="preserve"> Pupil assessment and feedback</w:t>
            </w:r>
          </w:p>
          <w:p w14:paraId="78FF2DB9" w14:textId="77777777" w:rsidR="00D20AE9" w:rsidRDefault="00D20AE9" w:rsidP="00D20AE9">
            <w:r>
              <w:rPr>
                <w:rFonts w:ascii="Segoe UI Symbol" w:hAnsi="Segoe UI Symbol" w:cs="Segoe UI Symbol"/>
              </w:rPr>
              <w:t>⮚</w:t>
            </w:r>
            <w:r>
              <w:t xml:space="preserve"> Transition support</w:t>
            </w:r>
          </w:p>
          <w:p w14:paraId="3F112572" w14:textId="77777777" w:rsidR="00821CAA" w:rsidRDefault="00821CAA" w:rsidP="00D20AE9"/>
          <w:p w14:paraId="708A1B06" w14:textId="73F5FDA9" w:rsidR="00D20AE9" w:rsidRPr="00821CAA" w:rsidRDefault="00D20AE9" w:rsidP="00D20AE9">
            <w:pPr>
              <w:rPr>
                <w:b/>
                <w:bCs/>
              </w:rPr>
            </w:pPr>
            <w:r w:rsidRPr="00821CAA">
              <w:rPr>
                <w:b/>
                <w:bCs/>
              </w:rPr>
              <w:t>Targeted approaches</w:t>
            </w:r>
          </w:p>
          <w:p w14:paraId="7D3BA917" w14:textId="77777777" w:rsidR="00D20AE9" w:rsidRDefault="00D20AE9" w:rsidP="00D20AE9">
            <w:r>
              <w:rPr>
                <w:rFonts w:ascii="Segoe UI Symbol" w:hAnsi="Segoe UI Symbol" w:cs="Segoe UI Symbol"/>
              </w:rPr>
              <w:lastRenderedPageBreak/>
              <w:t>⮚</w:t>
            </w:r>
            <w:r>
              <w:t xml:space="preserve"> One to one and small group tuition</w:t>
            </w:r>
          </w:p>
          <w:p w14:paraId="74D2D78E" w14:textId="77777777" w:rsidR="00D20AE9" w:rsidRDefault="00D20AE9" w:rsidP="00D20AE9">
            <w:r>
              <w:rPr>
                <w:rFonts w:ascii="Segoe UI Symbol" w:hAnsi="Segoe UI Symbol" w:cs="Segoe UI Symbol"/>
              </w:rPr>
              <w:t>⮚</w:t>
            </w:r>
            <w:r>
              <w:t xml:space="preserve"> Intervention programmes</w:t>
            </w:r>
          </w:p>
          <w:p w14:paraId="57A45AB2" w14:textId="77777777" w:rsidR="00D20AE9" w:rsidRDefault="00D20AE9" w:rsidP="00D20AE9">
            <w:r>
              <w:rPr>
                <w:rFonts w:ascii="Segoe UI Symbol" w:hAnsi="Segoe UI Symbol" w:cs="Segoe UI Symbol"/>
              </w:rPr>
              <w:t>⮚</w:t>
            </w:r>
            <w:r>
              <w:t xml:space="preserve"> Extended school time</w:t>
            </w:r>
          </w:p>
          <w:p w14:paraId="2C490588" w14:textId="77777777" w:rsidR="00821CAA" w:rsidRDefault="00821CAA" w:rsidP="00D20AE9"/>
          <w:p w14:paraId="57383F18" w14:textId="0FD6535E" w:rsidR="00D20AE9" w:rsidRPr="00821CAA" w:rsidRDefault="00D20AE9" w:rsidP="00D20AE9">
            <w:pPr>
              <w:rPr>
                <w:b/>
                <w:bCs/>
              </w:rPr>
            </w:pPr>
            <w:r w:rsidRPr="00821CAA">
              <w:rPr>
                <w:b/>
                <w:bCs/>
              </w:rPr>
              <w:t>Wider strategies</w:t>
            </w:r>
          </w:p>
          <w:p w14:paraId="23D97328" w14:textId="168BCDFC" w:rsidR="00D20AE9" w:rsidRDefault="00D20AE9" w:rsidP="00D20AE9">
            <w:r>
              <w:rPr>
                <w:rFonts w:ascii="Segoe UI Symbol" w:hAnsi="Segoe UI Symbol" w:cs="Segoe UI Symbol"/>
              </w:rPr>
              <w:t>⮚</w:t>
            </w:r>
            <w:r>
              <w:t xml:space="preserve"> Supporting parent</w:t>
            </w:r>
            <w:r w:rsidR="009565CE">
              <w:t>s</w:t>
            </w:r>
            <w:r>
              <w:t xml:space="preserve"> and carers</w:t>
            </w:r>
          </w:p>
          <w:p w14:paraId="68238D89" w14:textId="77777777" w:rsidR="00D20AE9" w:rsidRDefault="00D20AE9" w:rsidP="00D20AE9">
            <w:r>
              <w:rPr>
                <w:rFonts w:ascii="Segoe UI Symbol" w:hAnsi="Segoe UI Symbol" w:cs="Segoe UI Symbol"/>
              </w:rPr>
              <w:t>⮚</w:t>
            </w:r>
            <w:r>
              <w:t xml:space="preserve"> Access to technology</w:t>
            </w:r>
          </w:p>
          <w:p w14:paraId="715F3F53" w14:textId="36F9AFF7" w:rsidR="00D20AE9" w:rsidRDefault="00D20AE9" w:rsidP="00D20AE9">
            <w:r>
              <w:rPr>
                <w:rFonts w:ascii="Segoe UI Symbol" w:hAnsi="Segoe UI Symbol" w:cs="Segoe UI Symbol"/>
              </w:rPr>
              <w:t>⮚</w:t>
            </w:r>
            <w:r>
              <w:t xml:space="preserve"> Summer support</w:t>
            </w:r>
          </w:p>
        </w:tc>
      </w:tr>
    </w:tbl>
    <w:p w14:paraId="4DA30168" w14:textId="1706B584" w:rsidR="00D20AE9" w:rsidRDefault="00D20AE9" w:rsidP="00D20AE9"/>
    <w:tbl>
      <w:tblPr>
        <w:tblStyle w:val="TableGrid"/>
        <w:tblW w:w="0" w:type="auto"/>
        <w:tblLook w:val="04A0" w:firstRow="1" w:lastRow="0" w:firstColumn="1" w:lastColumn="0" w:noHBand="0" w:noVBand="1"/>
      </w:tblPr>
      <w:tblGrid>
        <w:gridCol w:w="13948"/>
      </w:tblGrid>
      <w:tr w:rsidR="004F436E" w14:paraId="187B21F8" w14:textId="77777777" w:rsidTr="004F436E">
        <w:tc>
          <w:tcPr>
            <w:tcW w:w="13948" w:type="dxa"/>
            <w:shd w:val="clear" w:color="auto" w:fill="FFE599" w:themeFill="accent4" w:themeFillTint="66"/>
          </w:tcPr>
          <w:p w14:paraId="4BE12CA9" w14:textId="24A54C40" w:rsidR="004F436E" w:rsidRPr="006C1135" w:rsidRDefault="004F436E" w:rsidP="00D20AE9">
            <w:pPr>
              <w:rPr>
                <w:b/>
                <w:bCs/>
              </w:rPr>
            </w:pPr>
            <w:r w:rsidRPr="006C1135">
              <w:rPr>
                <w:b/>
                <w:bCs/>
              </w:rPr>
              <w:t>School Evaluation of the Impact of Lockdown (formed from internal monitoring)</w:t>
            </w:r>
          </w:p>
        </w:tc>
      </w:tr>
      <w:tr w:rsidR="004F436E" w14:paraId="230F1997" w14:textId="77777777" w:rsidTr="004F436E">
        <w:tc>
          <w:tcPr>
            <w:tcW w:w="13948" w:type="dxa"/>
          </w:tcPr>
          <w:p w14:paraId="1E8C1F10" w14:textId="009067AE" w:rsidR="00F06ABC" w:rsidRPr="006C1135" w:rsidRDefault="00F06ABC" w:rsidP="004F436E">
            <w:pPr>
              <w:pStyle w:val="NormalWeb"/>
              <w:shd w:val="clear" w:color="auto" w:fill="FFFFFF"/>
              <w:spacing w:before="0" w:beforeAutospacing="0" w:after="160" w:afterAutospacing="0" w:line="235" w:lineRule="atLeast"/>
              <w:rPr>
                <w:rFonts w:ascii="Calibri" w:hAnsi="Calibri" w:cs="Calibri"/>
                <w:b/>
                <w:bCs/>
                <w:color w:val="000000"/>
              </w:rPr>
            </w:pPr>
            <w:r w:rsidRPr="006C1135">
              <w:rPr>
                <w:rFonts w:ascii="Calibri" w:hAnsi="Calibri" w:cs="Calibri"/>
                <w:b/>
                <w:bCs/>
                <w:color w:val="000000"/>
              </w:rPr>
              <w:t>English</w:t>
            </w:r>
          </w:p>
          <w:p w14:paraId="16A74222" w14:textId="77777777" w:rsidR="00F06ABC" w:rsidRPr="00F06ABC" w:rsidRDefault="00F06ABC" w:rsidP="00F06ABC">
            <w:pPr>
              <w:shd w:val="clear" w:color="auto" w:fill="FFFFFF"/>
              <w:textAlignment w:val="baseline"/>
              <w:rPr>
                <w:rFonts w:ascii="Calibri" w:eastAsia="Times New Roman" w:hAnsi="Calibri" w:cs="Calibri"/>
                <w:color w:val="000000"/>
                <w:sz w:val="24"/>
                <w:szCs w:val="24"/>
                <w:lang w:eastAsia="en-GB"/>
              </w:rPr>
            </w:pPr>
            <w:r w:rsidRPr="00F06ABC">
              <w:rPr>
                <w:rFonts w:ascii="Calibri" w:eastAsia="Times New Roman" w:hAnsi="Calibri" w:cs="Calibri"/>
                <w:b/>
                <w:bCs/>
                <w:color w:val="000000"/>
                <w:sz w:val="24"/>
                <w:szCs w:val="24"/>
                <w:lang w:eastAsia="en-GB"/>
              </w:rPr>
              <w:t>Writing</w:t>
            </w:r>
          </w:p>
          <w:p w14:paraId="29A0C741" w14:textId="3062886A" w:rsidR="00F06ABC" w:rsidRPr="00F06ABC" w:rsidRDefault="00F06ABC" w:rsidP="00F06ABC">
            <w:pPr>
              <w:shd w:val="clear" w:color="auto" w:fill="FFFFFF"/>
              <w:textAlignment w:val="baseline"/>
              <w:rPr>
                <w:rFonts w:ascii="Calibri" w:eastAsia="Times New Roman" w:hAnsi="Calibri" w:cs="Calibri"/>
                <w:color w:val="000000"/>
                <w:sz w:val="24"/>
                <w:szCs w:val="24"/>
                <w:lang w:eastAsia="en-GB"/>
              </w:rPr>
            </w:pPr>
            <w:r w:rsidRPr="00F06ABC">
              <w:rPr>
                <w:rFonts w:ascii="Calibri" w:eastAsia="Times New Roman" w:hAnsi="Calibri" w:cs="Calibri"/>
                <w:color w:val="000000"/>
                <w:sz w:val="24"/>
                <w:szCs w:val="24"/>
                <w:lang w:eastAsia="en-GB"/>
              </w:rPr>
              <w:t xml:space="preserve">Writing is an area of priority from our school action plan and has been a focus for teaching and learning before the recent lockdown. Areas such as spelling, grammar and punctuation and sentence level work were practiced regularly over lockdown (either through online lessons, face-to-face teaching for those in school or work packs collected and then returned). </w:t>
            </w:r>
            <w:r>
              <w:rPr>
                <w:rFonts w:ascii="Calibri" w:eastAsia="Times New Roman" w:hAnsi="Calibri" w:cs="Calibri"/>
                <w:color w:val="000000"/>
                <w:sz w:val="24"/>
                <w:szCs w:val="24"/>
                <w:lang w:eastAsia="en-GB"/>
              </w:rPr>
              <w:t xml:space="preserve">Through monitoring </w:t>
            </w:r>
            <w:proofErr w:type="gramStart"/>
            <w:r>
              <w:rPr>
                <w:rFonts w:ascii="Calibri" w:eastAsia="Times New Roman" w:hAnsi="Calibri" w:cs="Calibri"/>
                <w:color w:val="000000"/>
                <w:sz w:val="24"/>
                <w:szCs w:val="24"/>
                <w:lang w:eastAsia="en-GB"/>
              </w:rPr>
              <w:t>it is clear that c</w:t>
            </w:r>
            <w:r w:rsidRPr="00F06ABC">
              <w:rPr>
                <w:rFonts w:ascii="Calibri" w:eastAsia="Times New Roman" w:hAnsi="Calibri" w:cs="Calibri"/>
                <w:color w:val="000000"/>
                <w:sz w:val="24"/>
                <w:szCs w:val="24"/>
                <w:lang w:eastAsia="en-GB"/>
              </w:rPr>
              <w:t>hildren</w:t>
            </w:r>
            <w:proofErr w:type="gramEnd"/>
            <w:r w:rsidRPr="00F06ABC">
              <w:rPr>
                <w:rFonts w:ascii="Calibri" w:eastAsia="Times New Roman" w:hAnsi="Calibri" w:cs="Calibri"/>
                <w:color w:val="000000"/>
                <w:sz w:val="24"/>
                <w:szCs w:val="24"/>
                <w:lang w:eastAsia="en-GB"/>
              </w:rPr>
              <w:t xml:space="preserve"> have retained knowledge of grammar terminology and can apply this to written examples. Extended writing was much more difficult to teach as the children need lots of quality modelled examples and time to immerse themselves in a genre; this was not as effective during lockdown teaching and not all children had access to the work. As such, children are still taking time to regain their confidence in writing and developing their stamina.</w:t>
            </w:r>
          </w:p>
          <w:p w14:paraId="1808C53C" w14:textId="77777777" w:rsidR="00F06ABC" w:rsidRPr="00F06ABC" w:rsidRDefault="00F06ABC" w:rsidP="00F06ABC">
            <w:pPr>
              <w:shd w:val="clear" w:color="auto" w:fill="FFFFFF"/>
              <w:textAlignment w:val="baseline"/>
              <w:rPr>
                <w:rFonts w:ascii="Calibri" w:eastAsia="Times New Roman" w:hAnsi="Calibri" w:cs="Calibri"/>
                <w:color w:val="000000"/>
                <w:sz w:val="24"/>
                <w:szCs w:val="24"/>
                <w:lang w:eastAsia="en-GB"/>
              </w:rPr>
            </w:pPr>
          </w:p>
          <w:p w14:paraId="23834040" w14:textId="77777777" w:rsidR="00F06ABC" w:rsidRPr="00F06ABC" w:rsidRDefault="00F06ABC" w:rsidP="00F06ABC">
            <w:pPr>
              <w:shd w:val="clear" w:color="auto" w:fill="FFFFFF"/>
              <w:textAlignment w:val="baseline"/>
              <w:rPr>
                <w:rFonts w:ascii="Calibri" w:eastAsia="Times New Roman" w:hAnsi="Calibri" w:cs="Calibri"/>
                <w:color w:val="000000"/>
                <w:sz w:val="24"/>
                <w:szCs w:val="24"/>
                <w:lang w:eastAsia="en-GB"/>
              </w:rPr>
            </w:pPr>
            <w:r w:rsidRPr="00F06ABC">
              <w:rPr>
                <w:rFonts w:ascii="Calibri" w:eastAsia="Times New Roman" w:hAnsi="Calibri" w:cs="Calibri"/>
                <w:b/>
                <w:bCs/>
                <w:color w:val="000000"/>
                <w:sz w:val="24"/>
                <w:szCs w:val="24"/>
                <w:lang w:eastAsia="en-GB"/>
              </w:rPr>
              <w:t>Reading</w:t>
            </w:r>
          </w:p>
          <w:p w14:paraId="7D44AC97" w14:textId="3BD891FF" w:rsidR="00F06ABC" w:rsidRPr="00F06ABC" w:rsidRDefault="00F06ABC" w:rsidP="00F06ABC">
            <w:pPr>
              <w:shd w:val="clear" w:color="auto" w:fill="FFFFFF"/>
              <w:textAlignment w:val="baseline"/>
              <w:rPr>
                <w:rFonts w:ascii="Calibri" w:eastAsia="Times New Roman" w:hAnsi="Calibri" w:cs="Calibri"/>
                <w:color w:val="000000"/>
                <w:sz w:val="24"/>
                <w:szCs w:val="24"/>
                <w:lang w:eastAsia="en-GB"/>
              </w:rPr>
            </w:pPr>
            <w:r w:rsidRPr="00F06ABC">
              <w:rPr>
                <w:rFonts w:ascii="Calibri" w:eastAsia="Times New Roman" w:hAnsi="Calibri" w:cs="Calibri"/>
                <w:color w:val="000000"/>
                <w:sz w:val="24"/>
                <w:szCs w:val="24"/>
                <w:lang w:eastAsia="en-GB"/>
              </w:rPr>
              <w:t xml:space="preserve">During lockdown, children were given weekly reading with activities based around these texts. Where appropriate, differentiated texts were sent home for those not working within age-related expectations. In both Key Stages, </w:t>
            </w:r>
            <w:r w:rsidR="006C1135">
              <w:rPr>
                <w:rFonts w:ascii="Calibri" w:eastAsia="Times New Roman" w:hAnsi="Calibri" w:cs="Calibri"/>
                <w:color w:val="000000"/>
                <w:sz w:val="24"/>
                <w:szCs w:val="24"/>
                <w:lang w:eastAsia="en-GB"/>
              </w:rPr>
              <w:t xml:space="preserve">monitoring indicates </w:t>
            </w:r>
            <w:r w:rsidRPr="00F06ABC">
              <w:rPr>
                <w:rFonts w:ascii="Calibri" w:eastAsia="Times New Roman" w:hAnsi="Calibri" w:cs="Calibri"/>
                <w:color w:val="000000"/>
                <w:sz w:val="24"/>
                <w:szCs w:val="24"/>
                <w:lang w:eastAsia="en-GB"/>
              </w:rPr>
              <w:t>there is an obvious gap between those who regularly engaged with reading and those who did not. This then means that, for some groups of children, progress in reading has s</w:t>
            </w:r>
            <w:r w:rsidR="006C1135">
              <w:rPr>
                <w:rFonts w:ascii="Calibri" w:eastAsia="Times New Roman" w:hAnsi="Calibri" w:cs="Calibri"/>
                <w:color w:val="000000"/>
                <w:sz w:val="24"/>
                <w:szCs w:val="24"/>
                <w:lang w:eastAsia="en-GB"/>
              </w:rPr>
              <w:t>lowed</w:t>
            </w:r>
            <w:r w:rsidRPr="00F06ABC">
              <w:rPr>
                <w:rFonts w:ascii="Calibri" w:eastAsia="Times New Roman" w:hAnsi="Calibri" w:cs="Calibri"/>
                <w:color w:val="000000"/>
                <w:sz w:val="24"/>
                <w:szCs w:val="24"/>
                <w:lang w:eastAsia="en-GB"/>
              </w:rPr>
              <w:t>. Interventions such as regular reading and Reading Partners have been used to help support these children. For children in Upper Key Stage 2, a focus on higher level vocabulary and inference and explanation skills is necessary. These will be addressed through high-quality, class-based teaching.</w:t>
            </w:r>
          </w:p>
          <w:p w14:paraId="3EE640E6" w14:textId="77777777" w:rsidR="00F06ABC" w:rsidRDefault="00F06ABC" w:rsidP="004F436E">
            <w:pPr>
              <w:pStyle w:val="NormalWeb"/>
              <w:shd w:val="clear" w:color="auto" w:fill="FFFFFF"/>
              <w:spacing w:before="0" w:beforeAutospacing="0" w:after="160" w:afterAutospacing="0" w:line="235" w:lineRule="atLeast"/>
              <w:rPr>
                <w:rFonts w:ascii="Calibri" w:hAnsi="Calibri" w:cs="Calibri"/>
                <w:b/>
                <w:bCs/>
                <w:color w:val="000000"/>
                <w:sz w:val="22"/>
                <w:szCs w:val="22"/>
              </w:rPr>
            </w:pPr>
          </w:p>
          <w:p w14:paraId="0D61C507" w14:textId="6C5F494E" w:rsidR="00F06ABC" w:rsidRPr="00F06ABC" w:rsidRDefault="00F06ABC" w:rsidP="004F436E">
            <w:pPr>
              <w:pStyle w:val="NormalWeb"/>
              <w:shd w:val="clear" w:color="auto" w:fill="FFFFFF"/>
              <w:spacing w:before="0" w:beforeAutospacing="0" w:after="160" w:afterAutospacing="0" w:line="235" w:lineRule="atLeast"/>
              <w:rPr>
                <w:rFonts w:ascii="Calibri" w:hAnsi="Calibri" w:cs="Calibri"/>
                <w:b/>
                <w:bCs/>
                <w:color w:val="000000"/>
                <w:sz w:val="22"/>
                <w:szCs w:val="22"/>
              </w:rPr>
            </w:pPr>
            <w:r w:rsidRPr="00F06ABC">
              <w:rPr>
                <w:rFonts w:ascii="Calibri" w:hAnsi="Calibri" w:cs="Calibri"/>
                <w:b/>
                <w:bCs/>
                <w:color w:val="000000"/>
                <w:sz w:val="22"/>
                <w:szCs w:val="22"/>
              </w:rPr>
              <w:lastRenderedPageBreak/>
              <w:t>Maths</w:t>
            </w:r>
          </w:p>
          <w:p w14:paraId="51B333E2" w14:textId="701FC1FC" w:rsidR="004F436E" w:rsidRDefault="004F436E" w:rsidP="004F436E">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 xml:space="preserve">Since returning to school, teachers recognise that some of the areas of maths that were covered during home learning have not been retained or practised to the same level that they would have done in school. Every year group has carried out a ‘Ready to Progress’ test since the children have returned to school and specific areas of weaknesses have been noted and planning for Terms 5 and 6 has been adjusted to take this into account. As a teaching staff we realise that, for some year groups, it will not be possible to fit in all the areas of learning that we would normally cover in a year and so we have prioritised key areas of learning using the 12 essential KPI’s from the </w:t>
            </w:r>
            <w:proofErr w:type="spellStart"/>
            <w:r>
              <w:rPr>
                <w:rFonts w:ascii="Calibri" w:hAnsi="Calibri" w:cs="Calibri"/>
                <w:color w:val="000000"/>
                <w:sz w:val="22"/>
                <w:szCs w:val="22"/>
              </w:rPr>
              <w:t>CanDo</w:t>
            </w:r>
            <w:proofErr w:type="spellEnd"/>
            <w:r>
              <w:rPr>
                <w:rFonts w:ascii="Calibri" w:hAnsi="Calibri" w:cs="Calibri"/>
                <w:color w:val="000000"/>
                <w:sz w:val="22"/>
                <w:szCs w:val="22"/>
              </w:rPr>
              <w:t xml:space="preserve"> Maths scheme. </w:t>
            </w:r>
          </w:p>
          <w:p w14:paraId="62DA3712" w14:textId="77777777" w:rsidR="004F436E" w:rsidRDefault="004F436E" w:rsidP="004F436E">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Children's attitudes to Maths since returning to school have been largely enthusiastic, and they are getting back into the habit of articulating their thinking with clear mathematical language. There has been a general trend that key 'just know it' skills such as times table recall and mental calculation methods have become a little 'rusty', and this has been a key area to address since returning in September as well as something we will address as part of the Maths Action Plan for next year.</w:t>
            </w:r>
          </w:p>
          <w:p w14:paraId="46D2E103" w14:textId="77777777" w:rsidR="004F436E" w:rsidRDefault="004F436E" w:rsidP="00D20AE9"/>
        </w:tc>
      </w:tr>
    </w:tbl>
    <w:p w14:paraId="776E3B4D" w14:textId="77777777" w:rsidR="004F436E" w:rsidRDefault="004F436E" w:rsidP="00D20AE9"/>
    <w:tbl>
      <w:tblPr>
        <w:tblStyle w:val="TableGrid"/>
        <w:tblW w:w="0" w:type="auto"/>
        <w:tblLook w:val="04A0" w:firstRow="1" w:lastRow="0" w:firstColumn="1" w:lastColumn="0" w:noHBand="0" w:noVBand="1"/>
      </w:tblPr>
      <w:tblGrid>
        <w:gridCol w:w="1348"/>
        <w:gridCol w:w="12600"/>
      </w:tblGrid>
      <w:tr w:rsidR="00821CAA" w14:paraId="002B94EF" w14:textId="77777777" w:rsidTr="00821CAA">
        <w:tc>
          <w:tcPr>
            <w:tcW w:w="13948" w:type="dxa"/>
            <w:gridSpan w:val="2"/>
            <w:shd w:val="clear" w:color="auto" w:fill="FFE599" w:themeFill="accent4" w:themeFillTint="66"/>
          </w:tcPr>
          <w:p w14:paraId="7F5522F9" w14:textId="23A160E6" w:rsidR="00821CAA" w:rsidRDefault="008A437A" w:rsidP="008A437A">
            <w:r>
              <w:t>Provision during lockdown:</w:t>
            </w:r>
          </w:p>
        </w:tc>
      </w:tr>
      <w:tr w:rsidR="00042CF2" w14:paraId="3B7A3660" w14:textId="77777777" w:rsidTr="00CA5B0C">
        <w:tc>
          <w:tcPr>
            <w:tcW w:w="13948" w:type="dxa"/>
            <w:gridSpan w:val="2"/>
          </w:tcPr>
          <w:p w14:paraId="31E1F7F2" w14:textId="669CF563" w:rsidR="005454B9" w:rsidRDefault="005454B9" w:rsidP="005454B9">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 xml:space="preserve">During lockdown KS2 staff </w:t>
            </w:r>
            <w:r w:rsidR="006C1135">
              <w:rPr>
                <w:rFonts w:ascii="Calibri" w:hAnsi="Calibri" w:cs="Calibri"/>
                <w:color w:val="000000"/>
                <w:sz w:val="22"/>
                <w:szCs w:val="22"/>
              </w:rPr>
              <w:t xml:space="preserve">provided </w:t>
            </w:r>
            <w:r>
              <w:rPr>
                <w:rFonts w:ascii="Calibri" w:hAnsi="Calibri" w:cs="Calibri"/>
                <w:color w:val="000000"/>
                <w:sz w:val="22"/>
                <w:szCs w:val="22"/>
              </w:rPr>
              <w:t xml:space="preserve">online teaching via ‘Teams’ using their planning slides to support the learning. KS1 staff recorded lessons using their planning slides and interactive resources. Weekly Zoom meetings were also set up to address misconceptions. </w:t>
            </w:r>
            <w:r w:rsidR="006C1135">
              <w:rPr>
                <w:rFonts w:ascii="Calibri" w:hAnsi="Calibri" w:cs="Calibri"/>
                <w:color w:val="000000"/>
                <w:sz w:val="22"/>
                <w:szCs w:val="22"/>
              </w:rPr>
              <w:t xml:space="preserve">In maths, </w:t>
            </w:r>
            <w:r>
              <w:rPr>
                <w:rFonts w:ascii="Calibri" w:hAnsi="Calibri" w:cs="Calibri"/>
                <w:color w:val="000000"/>
                <w:sz w:val="22"/>
                <w:szCs w:val="22"/>
              </w:rPr>
              <w:t xml:space="preserve">Maths Shed was used alongside the </w:t>
            </w:r>
            <w:proofErr w:type="spellStart"/>
            <w:r>
              <w:rPr>
                <w:rFonts w:ascii="Calibri" w:hAnsi="Calibri" w:cs="Calibri"/>
                <w:color w:val="000000"/>
                <w:sz w:val="22"/>
                <w:szCs w:val="22"/>
              </w:rPr>
              <w:t>CanDo</w:t>
            </w:r>
            <w:proofErr w:type="spellEnd"/>
            <w:r>
              <w:rPr>
                <w:rFonts w:ascii="Calibri" w:hAnsi="Calibri" w:cs="Calibri"/>
                <w:color w:val="000000"/>
                <w:sz w:val="22"/>
                <w:szCs w:val="22"/>
              </w:rPr>
              <w:t xml:space="preserve"> Maths scheme of work to support planning. For those families who did not have access to the internet</w:t>
            </w:r>
            <w:r w:rsidR="006C1135">
              <w:rPr>
                <w:rFonts w:ascii="Calibri" w:hAnsi="Calibri" w:cs="Calibri"/>
                <w:color w:val="000000"/>
                <w:sz w:val="22"/>
                <w:szCs w:val="22"/>
              </w:rPr>
              <w:t>,</w:t>
            </w:r>
            <w:r>
              <w:rPr>
                <w:rFonts w:ascii="Calibri" w:hAnsi="Calibri" w:cs="Calibri"/>
                <w:color w:val="000000"/>
                <w:sz w:val="22"/>
                <w:szCs w:val="22"/>
              </w:rPr>
              <w:t xml:space="preserve"> packs of worksheets, with copies of the slides used in planning, were sent home as weekly learning packs. This meant that children were regularly accessing age-appropriate concepts that were pitched at a challenging level where necessary. In some year groups it was felt that certain units of work would be more effectively taught in </w:t>
            </w:r>
            <w:proofErr w:type="gramStart"/>
            <w:r>
              <w:rPr>
                <w:rFonts w:ascii="Calibri" w:hAnsi="Calibri" w:cs="Calibri"/>
                <w:color w:val="000000"/>
                <w:sz w:val="22"/>
                <w:szCs w:val="22"/>
              </w:rPr>
              <w:t>school</w:t>
            </w:r>
            <w:proofErr w:type="gramEnd"/>
            <w:r>
              <w:rPr>
                <w:rFonts w:ascii="Calibri" w:hAnsi="Calibri" w:cs="Calibri"/>
                <w:color w:val="000000"/>
                <w:sz w:val="22"/>
                <w:szCs w:val="22"/>
              </w:rPr>
              <w:t xml:space="preserve"> and these were swapped with units which were more appropriate for home learning.  </w:t>
            </w:r>
          </w:p>
          <w:p w14:paraId="132A6868" w14:textId="0C61F42C" w:rsidR="00042CF2" w:rsidRPr="00EA2A32" w:rsidRDefault="006C1135" w:rsidP="00EA2A32">
            <w:r>
              <w:t>In summary:</w:t>
            </w:r>
          </w:p>
          <w:p w14:paraId="7410AD46" w14:textId="645D7083" w:rsidR="00042CF2" w:rsidRPr="008A437A" w:rsidRDefault="00042CF2" w:rsidP="00AD4453">
            <w:pPr>
              <w:pStyle w:val="ListParagraph"/>
              <w:numPr>
                <w:ilvl w:val="0"/>
                <w:numId w:val="2"/>
              </w:numPr>
            </w:pPr>
            <w:r>
              <w:t>Ho</w:t>
            </w:r>
            <w:r w:rsidRPr="008A437A">
              <w:t>me learning packs offered weekly. Available at the school office for collection, some were also delivered by hand by teachers and parts of some were emailed if the children had moved further away</w:t>
            </w:r>
            <w:r>
              <w:t>.</w:t>
            </w:r>
          </w:p>
          <w:p w14:paraId="3ED448B2" w14:textId="77777777" w:rsidR="00042CF2" w:rsidRPr="008A437A" w:rsidRDefault="00042CF2" w:rsidP="00AD4453">
            <w:pPr>
              <w:pStyle w:val="ListParagraph"/>
              <w:numPr>
                <w:ilvl w:val="0"/>
                <w:numId w:val="2"/>
              </w:numPr>
            </w:pPr>
            <w:r w:rsidRPr="008A437A">
              <w:t>Daily maths activities were posted, often with a video accompanying it to show parents how to play the game or support their child in the activity.</w:t>
            </w:r>
          </w:p>
          <w:p w14:paraId="4A7583FC" w14:textId="1F72E21B" w:rsidR="00042CF2" w:rsidRPr="008A437A" w:rsidRDefault="00042CF2" w:rsidP="00AD4453">
            <w:pPr>
              <w:pStyle w:val="ListParagraph"/>
              <w:numPr>
                <w:ilvl w:val="0"/>
                <w:numId w:val="2"/>
              </w:numPr>
            </w:pPr>
            <w:r>
              <w:t>Stationery resources</w:t>
            </w:r>
            <w:r w:rsidRPr="008A437A">
              <w:t xml:space="preserve"> offered to all families.</w:t>
            </w:r>
          </w:p>
          <w:p w14:paraId="1486861E" w14:textId="1E06E98E" w:rsidR="00042CF2" w:rsidRDefault="00042CF2" w:rsidP="00AD4453">
            <w:pPr>
              <w:pStyle w:val="ListParagraph"/>
              <w:numPr>
                <w:ilvl w:val="0"/>
                <w:numId w:val="2"/>
              </w:numPr>
            </w:pPr>
            <w:r>
              <w:t>Daily online maths session</w:t>
            </w:r>
          </w:p>
          <w:p w14:paraId="016FDB95" w14:textId="0E8247BF" w:rsidR="00042CF2" w:rsidRDefault="00042CF2" w:rsidP="00AD4453">
            <w:pPr>
              <w:pStyle w:val="ListParagraph"/>
              <w:numPr>
                <w:ilvl w:val="0"/>
                <w:numId w:val="2"/>
              </w:numPr>
            </w:pPr>
            <w:r>
              <w:t>Daily videos sent home</w:t>
            </w:r>
          </w:p>
          <w:p w14:paraId="37072821" w14:textId="62EDF257" w:rsidR="00042CF2" w:rsidRDefault="00042CF2" w:rsidP="00AD4453">
            <w:pPr>
              <w:pStyle w:val="ListParagraph"/>
              <w:numPr>
                <w:ilvl w:val="0"/>
                <w:numId w:val="2"/>
              </w:numPr>
            </w:pPr>
            <w:r>
              <w:t>Catch-up sessions to address misconceptions</w:t>
            </w:r>
          </w:p>
          <w:p w14:paraId="5D76ECEA" w14:textId="1E50C920" w:rsidR="00042CF2" w:rsidRDefault="00042CF2" w:rsidP="00AD4453">
            <w:pPr>
              <w:pStyle w:val="ListParagraph"/>
              <w:numPr>
                <w:ilvl w:val="0"/>
                <w:numId w:val="2"/>
              </w:numPr>
            </w:pPr>
            <w:r>
              <w:t>Work packs with resources</w:t>
            </w:r>
          </w:p>
          <w:p w14:paraId="715F534F" w14:textId="77777777" w:rsidR="00042CF2" w:rsidRDefault="00042CF2" w:rsidP="00AD4453">
            <w:pPr>
              <w:pStyle w:val="ListParagraph"/>
              <w:numPr>
                <w:ilvl w:val="0"/>
                <w:numId w:val="2"/>
              </w:numPr>
            </w:pPr>
            <w:r>
              <w:t>Daily videos sent home</w:t>
            </w:r>
          </w:p>
          <w:p w14:paraId="710BE95E" w14:textId="77777777" w:rsidR="00042CF2" w:rsidRDefault="00042CF2" w:rsidP="00AD4453">
            <w:pPr>
              <w:pStyle w:val="ListParagraph"/>
              <w:numPr>
                <w:ilvl w:val="0"/>
                <w:numId w:val="2"/>
              </w:numPr>
            </w:pPr>
            <w:r>
              <w:lastRenderedPageBreak/>
              <w:t>Work packs with resources</w:t>
            </w:r>
          </w:p>
          <w:p w14:paraId="7104BC19" w14:textId="77777777" w:rsidR="00042CF2" w:rsidRDefault="00042CF2" w:rsidP="00AD4453">
            <w:pPr>
              <w:pStyle w:val="ListParagraph"/>
              <w:numPr>
                <w:ilvl w:val="0"/>
                <w:numId w:val="2"/>
              </w:numPr>
            </w:pPr>
            <w:r>
              <w:t>Daily phonics videos organised by group</w:t>
            </w:r>
          </w:p>
          <w:p w14:paraId="2B82D5E3" w14:textId="77777777" w:rsidR="00042CF2" w:rsidRPr="008A437A" w:rsidRDefault="00042CF2" w:rsidP="00AD4453">
            <w:pPr>
              <w:pStyle w:val="NormalWeb"/>
              <w:numPr>
                <w:ilvl w:val="0"/>
                <w:numId w:val="2"/>
              </w:numPr>
              <w:rPr>
                <w:rFonts w:asciiTheme="minorHAnsi" w:hAnsiTheme="minorHAnsi" w:cstheme="minorHAnsi"/>
                <w:color w:val="000000"/>
                <w:sz w:val="22"/>
                <w:szCs w:val="22"/>
              </w:rPr>
            </w:pPr>
            <w:r w:rsidRPr="008A437A">
              <w:rPr>
                <w:rFonts w:asciiTheme="minorHAnsi" w:hAnsiTheme="minorHAnsi" w:cstheme="minorHAnsi"/>
                <w:color w:val="000000"/>
                <w:sz w:val="22"/>
                <w:szCs w:val="22"/>
              </w:rPr>
              <w:t>Daily live sessions offered to some groups where appropriate.</w:t>
            </w:r>
          </w:p>
          <w:p w14:paraId="55541EDC" w14:textId="77777777" w:rsidR="00042CF2" w:rsidRDefault="00042CF2" w:rsidP="00AD4453">
            <w:pPr>
              <w:pStyle w:val="NormalWeb"/>
              <w:numPr>
                <w:ilvl w:val="0"/>
                <w:numId w:val="2"/>
              </w:numPr>
              <w:rPr>
                <w:rFonts w:asciiTheme="minorHAnsi" w:hAnsiTheme="minorHAnsi" w:cstheme="minorHAnsi"/>
                <w:color w:val="000000"/>
                <w:sz w:val="22"/>
                <w:szCs w:val="22"/>
              </w:rPr>
            </w:pPr>
            <w:r w:rsidRPr="008A437A">
              <w:rPr>
                <w:rFonts w:asciiTheme="minorHAnsi" w:hAnsiTheme="minorHAnsi" w:cstheme="minorHAnsi"/>
                <w:color w:val="000000"/>
                <w:sz w:val="22"/>
                <w:szCs w:val="22"/>
              </w:rPr>
              <w:t>Live story and game sessions held daily.</w:t>
            </w:r>
          </w:p>
          <w:p w14:paraId="1730BD02" w14:textId="77777777" w:rsidR="00042CF2" w:rsidRPr="008A437A" w:rsidRDefault="00042CF2" w:rsidP="00AD4453">
            <w:pPr>
              <w:pStyle w:val="NormalWeb"/>
              <w:numPr>
                <w:ilvl w:val="0"/>
                <w:numId w:val="2"/>
              </w:numPr>
              <w:rPr>
                <w:rFonts w:asciiTheme="minorHAnsi" w:hAnsiTheme="minorHAnsi" w:cstheme="minorHAnsi"/>
                <w:color w:val="000000"/>
                <w:sz w:val="22"/>
                <w:szCs w:val="22"/>
              </w:rPr>
            </w:pPr>
            <w:r>
              <w:rPr>
                <w:rFonts w:asciiTheme="minorHAnsi" w:hAnsiTheme="minorHAnsi" w:cstheme="minorHAnsi"/>
                <w:color w:val="000000"/>
                <w:sz w:val="22"/>
                <w:szCs w:val="22"/>
              </w:rPr>
              <w:t>Story videos provided online</w:t>
            </w:r>
          </w:p>
          <w:p w14:paraId="1229715B" w14:textId="77777777" w:rsidR="00AD4453" w:rsidRPr="008A437A" w:rsidRDefault="00AD4453" w:rsidP="00AD4453">
            <w:pPr>
              <w:pStyle w:val="NormalWeb"/>
              <w:numPr>
                <w:ilvl w:val="0"/>
                <w:numId w:val="2"/>
              </w:numPr>
              <w:rPr>
                <w:rFonts w:asciiTheme="minorHAnsi" w:hAnsiTheme="minorHAnsi" w:cstheme="minorHAnsi"/>
                <w:color w:val="000000"/>
                <w:sz w:val="22"/>
                <w:szCs w:val="22"/>
              </w:rPr>
            </w:pPr>
            <w:r w:rsidRPr="008A437A">
              <w:rPr>
                <w:rFonts w:asciiTheme="minorHAnsi" w:hAnsiTheme="minorHAnsi" w:cstheme="minorHAnsi"/>
                <w:color w:val="000000"/>
                <w:sz w:val="22"/>
                <w:szCs w:val="22"/>
              </w:rPr>
              <w:t xml:space="preserve">A range of activities were suggested in the </w:t>
            </w:r>
            <w:r>
              <w:rPr>
                <w:rFonts w:asciiTheme="minorHAnsi" w:hAnsiTheme="minorHAnsi" w:cstheme="minorHAnsi"/>
                <w:color w:val="000000"/>
                <w:sz w:val="22"/>
                <w:szCs w:val="22"/>
              </w:rPr>
              <w:t xml:space="preserve">home learning </w:t>
            </w:r>
            <w:r w:rsidRPr="008A437A">
              <w:rPr>
                <w:rFonts w:asciiTheme="minorHAnsi" w:hAnsiTheme="minorHAnsi" w:cstheme="minorHAnsi"/>
                <w:color w:val="000000"/>
                <w:sz w:val="22"/>
                <w:szCs w:val="22"/>
              </w:rPr>
              <w:t>pack that were accessible at home with limited resources.</w:t>
            </w:r>
          </w:p>
          <w:p w14:paraId="5AEE6854" w14:textId="77777777" w:rsidR="00AD4453" w:rsidRDefault="00AD4453" w:rsidP="00AD4453">
            <w:pPr>
              <w:pStyle w:val="NormalWeb"/>
              <w:numPr>
                <w:ilvl w:val="0"/>
                <w:numId w:val="2"/>
              </w:numPr>
              <w:rPr>
                <w:rFonts w:asciiTheme="minorHAnsi" w:hAnsiTheme="minorHAnsi" w:cstheme="minorHAnsi"/>
                <w:color w:val="000000"/>
                <w:sz w:val="22"/>
                <w:szCs w:val="22"/>
              </w:rPr>
            </w:pPr>
            <w:r w:rsidRPr="008A437A">
              <w:rPr>
                <w:rFonts w:asciiTheme="minorHAnsi" w:hAnsiTheme="minorHAnsi" w:cstheme="minorHAnsi"/>
                <w:color w:val="000000"/>
                <w:sz w:val="22"/>
                <w:szCs w:val="22"/>
              </w:rPr>
              <w:t>Daily exercise sessions uploaded.</w:t>
            </w:r>
          </w:p>
          <w:p w14:paraId="0725482B" w14:textId="77777777" w:rsidR="00AD4453" w:rsidRPr="008A437A" w:rsidRDefault="00AD4453" w:rsidP="00AD4453">
            <w:pPr>
              <w:pStyle w:val="NormalWeb"/>
              <w:numPr>
                <w:ilvl w:val="0"/>
                <w:numId w:val="2"/>
              </w:numPr>
              <w:rPr>
                <w:rFonts w:asciiTheme="minorHAnsi" w:hAnsiTheme="minorHAnsi" w:cstheme="minorHAnsi"/>
                <w:color w:val="000000"/>
                <w:sz w:val="22"/>
                <w:szCs w:val="22"/>
              </w:rPr>
            </w:pPr>
            <w:r>
              <w:rPr>
                <w:rFonts w:asciiTheme="minorHAnsi" w:hAnsiTheme="minorHAnsi" w:cstheme="minorHAnsi"/>
                <w:color w:val="000000"/>
                <w:sz w:val="22"/>
                <w:szCs w:val="22"/>
              </w:rPr>
              <w:t>Sessions for computing, PE, Art and enquiry weekly</w:t>
            </w:r>
          </w:p>
          <w:p w14:paraId="0314FA68" w14:textId="307E0C2D" w:rsidR="00042CF2" w:rsidRDefault="00042CF2" w:rsidP="00AD4453">
            <w:pPr>
              <w:pStyle w:val="NormalWeb"/>
              <w:numPr>
                <w:ilvl w:val="0"/>
                <w:numId w:val="2"/>
              </w:numPr>
            </w:pPr>
            <w:r w:rsidRPr="00042CF2">
              <w:rPr>
                <w:rFonts w:asciiTheme="minorHAnsi" w:hAnsiTheme="minorHAnsi" w:cstheme="minorHAnsi"/>
                <w:color w:val="000000"/>
                <w:sz w:val="22"/>
                <w:szCs w:val="22"/>
              </w:rPr>
              <w:t>Daily phonics videos uploaded as appropriate to the child’s phonic level</w:t>
            </w:r>
          </w:p>
          <w:p w14:paraId="6A723C25" w14:textId="5FA6AF1D" w:rsidR="00042CF2" w:rsidRDefault="00042CF2" w:rsidP="00042CF2">
            <w:pPr>
              <w:pStyle w:val="NormalWeb"/>
            </w:pPr>
          </w:p>
        </w:tc>
      </w:tr>
      <w:tr w:rsidR="00AD4453" w14:paraId="69B7F19F" w14:textId="77777777" w:rsidTr="00042CF2">
        <w:tc>
          <w:tcPr>
            <w:tcW w:w="1348" w:type="dxa"/>
          </w:tcPr>
          <w:p w14:paraId="104CEDBA" w14:textId="78F50FEA" w:rsidR="00AD4453" w:rsidRPr="00821CAA" w:rsidRDefault="00AD4453" w:rsidP="00AD4453">
            <w:pPr>
              <w:rPr>
                <w:b/>
                <w:bCs/>
              </w:rPr>
            </w:pPr>
            <w:r>
              <w:rPr>
                <w:b/>
                <w:bCs/>
              </w:rPr>
              <w:lastRenderedPageBreak/>
              <w:t>SEMH/SEND</w:t>
            </w:r>
          </w:p>
        </w:tc>
        <w:tc>
          <w:tcPr>
            <w:tcW w:w="12600" w:type="dxa"/>
          </w:tcPr>
          <w:p w14:paraId="17350843" w14:textId="35C81362" w:rsidR="00AD4453" w:rsidRDefault="00AD4453" w:rsidP="00AD4453">
            <w:pPr>
              <w:pStyle w:val="NormalWeb"/>
              <w:numPr>
                <w:ilvl w:val="0"/>
                <w:numId w:val="5"/>
              </w:numPr>
              <w:rPr>
                <w:rFonts w:asciiTheme="minorHAnsi" w:hAnsiTheme="minorHAnsi" w:cstheme="minorHAnsi"/>
                <w:color w:val="000000"/>
                <w:sz w:val="22"/>
                <w:szCs w:val="22"/>
              </w:rPr>
            </w:pPr>
            <w:r>
              <w:rPr>
                <w:rFonts w:asciiTheme="minorHAnsi" w:hAnsiTheme="minorHAnsi" w:cstheme="minorHAnsi"/>
                <w:color w:val="000000"/>
                <w:sz w:val="22"/>
                <w:szCs w:val="22"/>
              </w:rPr>
              <w:t>Weekly phone-calls to all children</w:t>
            </w:r>
          </w:p>
          <w:p w14:paraId="4B77AF7B" w14:textId="77777777" w:rsidR="00AD4453" w:rsidRDefault="00AD4453" w:rsidP="00AD4453">
            <w:pPr>
              <w:pStyle w:val="NormalWeb"/>
              <w:numPr>
                <w:ilvl w:val="0"/>
                <w:numId w:val="5"/>
              </w:numPr>
              <w:rPr>
                <w:rFonts w:asciiTheme="minorHAnsi" w:hAnsiTheme="minorHAnsi" w:cstheme="minorHAnsi"/>
                <w:color w:val="000000"/>
                <w:sz w:val="22"/>
                <w:szCs w:val="22"/>
              </w:rPr>
            </w:pPr>
            <w:r>
              <w:rPr>
                <w:rFonts w:asciiTheme="minorHAnsi" w:hAnsiTheme="minorHAnsi" w:cstheme="minorHAnsi"/>
                <w:color w:val="000000"/>
                <w:sz w:val="22"/>
                <w:szCs w:val="22"/>
              </w:rPr>
              <w:t>Home visits by PSA/DSL</w:t>
            </w:r>
          </w:p>
          <w:p w14:paraId="78288240" w14:textId="77777777" w:rsidR="00AD4453" w:rsidRDefault="00AD4453" w:rsidP="00AD4453">
            <w:pPr>
              <w:pStyle w:val="NormalWeb"/>
              <w:numPr>
                <w:ilvl w:val="0"/>
                <w:numId w:val="5"/>
              </w:numPr>
              <w:rPr>
                <w:rFonts w:asciiTheme="minorHAnsi" w:hAnsiTheme="minorHAnsi" w:cstheme="minorHAnsi"/>
                <w:color w:val="000000"/>
                <w:sz w:val="22"/>
                <w:szCs w:val="22"/>
              </w:rPr>
            </w:pPr>
            <w:r>
              <w:rPr>
                <w:rFonts w:asciiTheme="minorHAnsi" w:hAnsiTheme="minorHAnsi" w:cstheme="minorHAnsi"/>
                <w:color w:val="000000"/>
                <w:sz w:val="22"/>
                <w:szCs w:val="22"/>
              </w:rPr>
              <w:t>Regular contact by Nurture Leader for specific children</w:t>
            </w:r>
          </w:p>
          <w:p w14:paraId="7248B0EA" w14:textId="4D93F127" w:rsidR="00AD4453" w:rsidRPr="008A437A" w:rsidRDefault="00AD4453" w:rsidP="00AD4453">
            <w:pPr>
              <w:pStyle w:val="NormalWeb"/>
              <w:numPr>
                <w:ilvl w:val="0"/>
                <w:numId w:val="5"/>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High rates of attendance of EHCP/SEND/Vulnerable </w:t>
            </w:r>
            <w:r w:rsidR="006C1135">
              <w:rPr>
                <w:rFonts w:asciiTheme="minorHAnsi" w:hAnsiTheme="minorHAnsi" w:cstheme="minorHAnsi"/>
                <w:color w:val="000000"/>
                <w:sz w:val="22"/>
                <w:szCs w:val="22"/>
              </w:rPr>
              <w:t>children</w:t>
            </w:r>
          </w:p>
        </w:tc>
      </w:tr>
    </w:tbl>
    <w:p w14:paraId="4ADD01FE" w14:textId="539D81FF" w:rsidR="00821CAA" w:rsidRDefault="00821CAA" w:rsidP="00D20AE9"/>
    <w:tbl>
      <w:tblPr>
        <w:tblStyle w:val="TableGrid"/>
        <w:tblW w:w="0" w:type="auto"/>
        <w:tblLook w:val="04A0" w:firstRow="1" w:lastRow="0" w:firstColumn="1" w:lastColumn="0" w:noHBand="0" w:noVBand="1"/>
      </w:tblPr>
      <w:tblGrid>
        <w:gridCol w:w="2788"/>
        <w:gridCol w:w="5429"/>
        <w:gridCol w:w="2551"/>
        <w:gridCol w:w="1418"/>
        <w:gridCol w:w="1762"/>
      </w:tblGrid>
      <w:tr w:rsidR="00821CAA" w14:paraId="2AA67609" w14:textId="77777777" w:rsidTr="00821CAA">
        <w:tc>
          <w:tcPr>
            <w:tcW w:w="13948" w:type="dxa"/>
            <w:gridSpan w:val="5"/>
            <w:shd w:val="clear" w:color="auto" w:fill="FFE599" w:themeFill="accent4" w:themeFillTint="66"/>
          </w:tcPr>
          <w:p w14:paraId="7983BC4D" w14:textId="77777777" w:rsidR="00821CAA" w:rsidRDefault="00821CAA" w:rsidP="00821CAA">
            <w:r w:rsidRPr="00821CAA">
              <w:rPr>
                <w:b/>
                <w:bCs/>
              </w:rPr>
              <w:t>Planned expenditure</w:t>
            </w:r>
            <w:r>
              <w:t xml:space="preserve"> - The headings below are grouped into the categories outlined in the Education Endowment Foundation’s coronavirus support</w:t>
            </w:r>
          </w:p>
          <w:p w14:paraId="45E62F04" w14:textId="4DDBBD26" w:rsidR="00821CAA" w:rsidRDefault="00821CAA" w:rsidP="00821CAA">
            <w:r>
              <w:t>guide for schools)</w:t>
            </w:r>
          </w:p>
        </w:tc>
      </w:tr>
      <w:tr w:rsidR="00821CAA" w:rsidRPr="00821CAA" w14:paraId="45D99DF1" w14:textId="77777777" w:rsidTr="00821CAA">
        <w:tc>
          <w:tcPr>
            <w:tcW w:w="13948" w:type="dxa"/>
            <w:gridSpan w:val="5"/>
            <w:shd w:val="clear" w:color="auto" w:fill="FFF2CC" w:themeFill="accent4" w:themeFillTint="33"/>
          </w:tcPr>
          <w:p w14:paraId="1773859D" w14:textId="01363E15" w:rsidR="00821CAA" w:rsidRPr="00821CAA" w:rsidRDefault="00821CAA" w:rsidP="00D20AE9">
            <w:pPr>
              <w:rPr>
                <w:b/>
                <w:bCs/>
              </w:rPr>
            </w:pPr>
            <w:proofErr w:type="spellStart"/>
            <w:r w:rsidRPr="00821CAA">
              <w:rPr>
                <w:b/>
                <w:bCs/>
              </w:rPr>
              <w:t>i</w:t>
            </w:r>
            <w:proofErr w:type="spellEnd"/>
            <w:r w:rsidRPr="00821CAA">
              <w:rPr>
                <w:b/>
                <w:bCs/>
              </w:rPr>
              <w:t>. Teaching and whole-school strategies</w:t>
            </w:r>
          </w:p>
        </w:tc>
      </w:tr>
      <w:tr w:rsidR="00821CAA" w:rsidRPr="00821CAA" w14:paraId="646E9DE7" w14:textId="77777777" w:rsidTr="009865AC">
        <w:tc>
          <w:tcPr>
            <w:tcW w:w="2788" w:type="dxa"/>
          </w:tcPr>
          <w:p w14:paraId="488D1273" w14:textId="4AFEBB73" w:rsidR="00821CAA" w:rsidRPr="00821CAA" w:rsidRDefault="00821CAA" w:rsidP="00D20AE9">
            <w:pPr>
              <w:rPr>
                <w:b/>
                <w:bCs/>
              </w:rPr>
            </w:pPr>
            <w:r w:rsidRPr="00821CAA">
              <w:rPr>
                <w:b/>
                <w:bCs/>
              </w:rPr>
              <w:t xml:space="preserve">Desired outcome </w:t>
            </w:r>
          </w:p>
        </w:tc>
        <w:tc>
          <w:tcPr>
            <w:tcW w:w="5429" w:type="dxa"/>
          </w:tcPr>
          <w:p w14:paraId="67098ED5" w14:textId="296A11BB" w:rsidR="00821CAA" w:rsidRPr="00821CAA" w:rsidRDefault="00821CAA" w:rsidP="00D20AE9">
            <w:pPr>
              <w:rPr>
                <w:b/>
                <w:bCs/>
              </w:rPr>
            </w:pPr>
            <w:r w:rsidRPr="00821CAA">
              <w:rPr>
                <w:b/>
                <w:bCs/>
              </w:rPr>
              <w:t>Chosen approach and anticipated cost</w:t>
            </w:r>
          </w:p>
        </w:tc>
        <w:tc>
          <w:tcPr>
            <w:tcW w:w="2551" w:type="dxa"/>
          </w:tcPr>
          <w:p w14:paraId="74B95F09" w14:textId="1F34C773" w:rsidR="00821CAA" w:rsidRPr="00821CAA" w:rsidRDefault="00821CAA" w:rsidP="00D20AE9">
            <w:pPr>
              <w:rPr>
                <w:b/>
                <w:bCs/>
              </w:rPr>
            </w:pPr>
            <w:r w:rsidRPr="00821CAA">
              <w:rPr>
                <w:b/>
                <w:bCs/>
              </w:rPr>
              <w:t>Impact (once reviewed)</w:t>
            </w:r>
          </w:p>
        </w:tc>
        <w:tc>
          <w:tcPr>
            <w:tcW w:w="1418" w:type="dxa"/>
          </w:tcPr>
          <w:p w14:paraId="067FDE6C" w14:textId="239B1D8F" w:rsidR="00821CAA" w:rsidRPr="00821CAA" w:rsidRDefault="00821CAA" w:rsidP="00D20AE9">
            <w:pPr>
              <w:rPr>
                <w:b/>
                <w:bCs/>
              </w:rPr>
            </w:pPr>
            <w:r w:rsidRPr="00821CAA">
              <w:rPr>
                <w:b/>
                <w:bCs/>
              </w:rPr>
              <w:t>Staff lead</w:t>
            </w:r>
          </w:p>
        </w:tc>
        <w:tc>
          <w:tcPr>
            <w:tcW w:w="1762" w:type="dxa"/>
          </w:tcPr>
          <w:p w14:paraId="72849C57" w14:textId="60DF0DD9" w:rsidR="00821CAA" w:rsidRPr="00821CAA" w:rsidRDefault="00821CAA" w:rsidP="00D20AE9">
            <w:pPr>
              <w:rPr>
                <w:b/>
                <w:bCs/>
              </w:rPr>
            </w:pPr>
            <w:r w:rsidRPr="00821CAA">
              <w:rPr>
                <w:b/>
                <w:bCs/>
              </w:rPr>
              <w:t>Review</w:t>
            </w:r>
            <w:r w:rsidR="009865AC">
              <w:rPr>
                <w:b/>
                <w:bCs/>
              </w:rPr>
              <w:t xml:space="preserve"> date</w:t>
            </w:r>
          </w:p>
        </w:tc>
      </w:tr>
      <w:tr w:rsidR="00821CAA" w14:paraId="367B84C6" w14:textId="77777777" w:rsidTr="009865AC">
        <w:tc>
          <w:tcPr>
            <w:tcW w:w="2788" w:type="dxa"/>
          </w:tcPr>
          <w:p w14:paraId="02ACA121" w14:textId="79E3F4C8" w:rsidR="00821CAA" w:rsidRDefault="009865AC" w:rsidP="00D20AE9">
            <w:r>
              <w:t xml:space="preserve">Recovery curriculum objectives identified in all year groups. Focus on key skills and knowledge required for rapid catch-up and reducing of gaps. </w:t>
            </w:r>
          </w:p>
        </w:tc>
        <w:tc>
          <w:tcPr>
            <w:tcW w:w="5429" w:type="dxa"/>
          </w:tcPr>
          <w:p w14:paraId="133E55A6" w14:textId="77777777" w:rsidR="00821CAA" w:rsidRDefault="009865AC" w:rsidP="00D20AE9">
            <w:r>
              <w:t>Staff meeting, PPA and TD Day time allocated to review gaps in learning and adapt medium term plans.</w:t>
            </w:r>
          </w:p>
          <w:p w14:paraId="33AE2C48" w14:textId="565794C1" w:rsidR="009865AC" w:rsidRDefault="009865AC" w:rsidP="00D20AE9">
            <w:r>
              <w:t xml:space="preserve">Plans shared with subject leads and SLT. </w:t>
            </w:r>
          </w:p>
        </w:tc>
        <w:tc>
          <w:tcPr>
            <w:tcW w:w="2551" w:type="dxa"/>
          </w:tcPr>
          <w:p w14:paraId="3BE58FF7" w14:textId="77777777" w:rsidR="00821CAA" w:rsidRDefault="00821CAA" w:rsidP="00D20AE9"/>
        </w:tc>
        <w:tc>
          <w:tcPr>
            <w:tcW w:w="1418" w:type="dxa"/>
          </w:tcPr>
          <w:p w14:paraId="0D6C8C57" w14:textId="77777777" w:rsidR="00821CAA" w:rsidRDefault="009865AC" w:rsidP="00D20AE9">
            <w:r>
              <w:t>TI</w:t>
            </w:r>
          </w:p>
          <w:p w14:paraId="62EB5F71" w14:textId="77777777" w:rsidR="009865AC" w:rsidRDefault="009865AC" w:rsidP="00D20AE9">
            <w:r>
              <w:t>AT</w:t>
            </w:r>
          </w:p>
          <w:p w14:paraId="56087939" w14:textId="77777777" w:rsidR="009865AC" w:rsidRDefault="009865AC" w:rsidP="00D20AE9">
            <w:r>
              <w:t>PR/CS</w:t>
            </w:r>
          </w:p>
          <w:p w14:paraId="70D0BDFC" w14:textId="344070BB" w:rsidR="009865AC" w:rsidRDefault="009865AC" w:rsidP="00D20AE9">
            <w:r>
              <w:t>SLT</w:t>
            </w:r>
          </w:p>
        </w:tc>
        <w:tc>
          <w:tcPr>
            <w:tcW w:w="1762" w:type="dxa"/>
          </w:tcPr>
          <w:p w14:paraId="131562C9" w14:textId="66204A41" w:rsidR="00821CAA" w:rsidRDefault="009865AC" w:rsidP="00D20AE9">
            <w:r>
              <w:t>April 2021</w:t>
            </w:r>
          </w:p>
        </w:tc>
      </w:tr>
      <w:tr w:rsidR="00821CAA" w14:paraId="1E4602B2" w14:textId="77777777" w:rsidTr="009865AC">
        <w:tc>
          <w:tcPr>
            <w:tcW w:w="2788" w:type="dxa"/>
          </w:tcPr>
          <w:p w14:paraId="3BA16BE8" w14:textId="0B09075F" w:rsidR="00821CAA" w:rsidRDefault="009865AC" w:rsidP="00D20AE9">
            <w:r>
              <w:t xml:space="preserve">Progress meetings held to discuss all children in terms of learning and SEMH needs </w:t>
            </w:r>
            <w:r>
              <w:lastRenderedPageBreak/>
              <w:t>on return to school from lockdown.</w:t>
            </w:r>
          </w:p>
        </w:tc>
        <w:tc>
          <w:tcPr>
            <w:tcW w:w="5429" w:type="dxa"/>
          </w:tcPr>
          <w:p w14:paraId="3AB5842A" w14:textId="0A055FC4" w:rsidR="00821CAA" w:rsidRDefault="00414F67" w:rsidP="00D20AE9">
            <w:r>
              <w:lastRenderedPageBreak/>
              <w:t xml:space="preserve">Staff released from class to enable discussions with HT and Phase/KS Leader to discuss individual children’s needs, identify gaps in knowledge and plan interventions for Terms 5 and 6. </w:t>
            </w:r>
          </w:p>
        </w:tc>
        <w:tc>
          <w:tcPr>
            <w:tcW w:w="2551" w:type="dxa"/>
          </w:tcPr>
          <w:p w14:paraId="609C13C6" w14:textId="77777777" w:rsidR="00821CAA" w:rsidRDefault="00821CAA" w:rsidP="00D20AE9"/>
        </w:tc>
        <w:tc>
          <w:tcPr>
            <w:tcW w:w="1418" w:type="dxa"/>
          </w:tcPr>
          <w:p w14:paraId="67AF95C5" w14:textId="77777777" w:rsidR="00821CAA" w:rsidRDefault="00414F67" w:rsidP="00D20AE9">
            <w:r>
              <w:t>SR</w:t>
            </w:r>
          </w:p>
          <w:p w14:paraId="27B8D11E" w14:textId="77777777" w:rsidR="00414F67" w:rsidRDefault="00414F67" w:rsidP="00D20AE9">
            <w:r>
              <w:t>WB</w:t>
            </w:r>
          </w:p>
          <w:p w14:paraId="7BB9E359" w14:textId="77777777" w:rsidR="00414F67" w:rsidRDefault="00414F67" w:rsidP="00D20AE9">
            <w:r>
              <w:t>PR</w:t>
            </w:r>
          </w:p>
          <w:p w14:paraId="0EF69DB4" w14:textId="77777777" w:rsidR="00414F67" w:rsidRDefault="00414F67" w:rsidP="00D20AE9">
            <w:r>
              <w:t>CS</w:t>
            </w:r>
          </w:p>
          <w:p w14:paraId="5EAF8EEF" w14:textId="53479930" w:rsidR="00414F67" w:rsidRDefault="00414F67" w:rsidP="00D20AE9">
            <w:r>
              <w:lastRenderedPageBreak/>
              <w:t>JR</w:t>
            </w:r>
          </w:p>
        </w:tc>
        <w:tc>
          <w:tcPr>
            <w:tcW w:w="1762" w:type="dxa"/>
          </w:tcPr>
          <w:p w14:paraId="100B5845" w14:textId="7333188C" w:rsidR="00821CAA" w:rsidRDefault="00D6374D" w:rsidP="00D20AE9">
            <w:r>
              <w:lastRenderedPageBreak/>
              <w:t>April 2021</w:t>
            </w:r>
          </w:p>
        </w:tc>
      </w:tr>
      <w:tr w:rsidR="009865AC" w14:paraId="20A9649C" w14:textId="77777777" w:rsidTr="009865AC">
        <w:tc>
          <w:tcPr>
            <w:tcW w:w="2788" w:type="dxa"/>
          </w:tcPr>
          <w:p w14:paraId="6BDFAA89" w14:textId="77777777" w:rsidR="009865AC" w:rsidRDefault="009865AC" w:rsidP="00D20AE9">
            <w:r>
              <w:t>Assessment schedule adapted to monitor attainment from current/predicted assessments (Apr 21) and end of year atta</w:t>
            </w:r>
            <w:r w:rsidR="00414F67">
              <w:t xml:space="preserve">inment (July 21). </w:t>
            </w:r>
          </w:p>
          <w:p w14:paraId="2F7524C4" w14:textId="16057ED7" w:rsidR="005312E5" w:rsidRDefault="005312E5" w:rsidP="00D20AE9"/>
        </w:tc>
        <w:tc>
          <w:tcPr>
            <w:tcW w:w="5429" w:type="dxa"/>
          </w:tcPr>
          <w:p w14:paraId="17E21A24" w14:textId="77777777" w:rsidR="009865AC" w:rsidRDefault="00414F67" w:rsidP="00D20AE9">
            <w:r>
              <w:t xml:space="preserve">SLT amend assessment schedule to include current/predicted end of year data for RWM at start of Term 5 and end of Term 6 actual attainment. Staff complete and submit this data. Phase/KS Leaders analyse data. </w:t>
            </w:r>
          </w:p>
          <w:p w14:paraId="268E9867" w14:textId="15F12E8B" w:rsidR="005312E5" w:rsidRDefault="005312E5" w:rsidP="00D20AE9">
            <w:r>
              <w:t>Year 1 to complete Phonics Screening Check (</w:t>
            </w:r>
            <w:r w:rsidR="0006404F">
              <w:t>28.6.21</w:t>
            </w:r>
            <w:r>
              <w:t>) to inform Year 2 teachers 2021/22.</w:t>
            </w:r>
          </w:p>
          <w:p w14:paraId="3C104ACB" w14:textId="33E4A480" w:rsidR="005312E5" w:rsidRDefault="005312E5" w:rsidP="00D20AE9">
            <w:r>
              <w:t>Year 4 to complete sample Year 4 Multiplication Tables Check (</w:t>
            </w:r>
            <w:r w:rsidR="00F26930">
              <w:t>June 2021</w:t>
            </w:r>
            <w:r>
              <w:t>) to inform Year 5 teachers 2021/22</w:t>
            </w:r>
          </w:p>
        </w:tc>
        <w:tc>
          <w:tcPr>
            <w:tcW w:w="2551" w:type="dxa"/>
          </w:tcPr>
          <w:p w14:paraId="5812348C" w14:textId="77777777" w:rsidR="009865AC" w:rsidRDefault="009865AC" w:rsidP="00D20AE9"/>
        </w:tc>
        <w:tc>
          <w:tcPr>
            <w:tcW w:w="1418" w:type="dxa"/>
          </w:tcPr>
          <w:p w14:paraId="1DE76E65" w14:textId="77777777" w:rsidR="009865AC" w:rsidRDefault="00414F67" w:rsidP="00D20AE9">
            <w:r>
              <w:t>SLT</w:t>
            </w:r>
          </w:p>
          <w:p w14:paraId="7E470625" w14:textId="77777777" w:rsidR="00F26930" w:rsidRDefault="00F26930" w:rsidP="00D20AE9"/>
          <w:p w14:paraId="3EE135B2" w14:textId="77777777" w:rsidR="00F26930" w:rsidRDefault="00F26930" w:rsidP="00D20AE9"/>
          <w:p w14:paraId="0170B2C7" w14:textId="77777777" w:rsidR="00F26930" w:rsidRDefault="00F26930" w:rsidP="00D20AE9"/>
          <w:p w14:paraId="69ED6502" w14:textId="77777777" w:rsidR="00F26930" w:rsidRDefault="00F26930" w:rsidP="00D20AE9"/>
          <w:p w14:paraId="740A069D" w14:textId="77777777" w:rsidR="00F26930" w:rsidRDefault="00F26930" w:rsidP="00D20AE9">
            <w:r>
              <w:t>PR</w:t>
            </w:r>
          </w:p>
          <w:p w14:paraId="44367F6B" w14:textId="06AC04A1" w:rsidR="00F26930" w:rsidRDefault="00F26930" w:rsidP="00D20AE9">
            <w:r>
              <w:t>NS, SK</w:t>
            </w:r>
          </w:p>
          <w:p w14:paraId="4D76C0CA" w14:textId="58709ACE" w:rsidR="00F26930" w:rsidRDefault="00F26930" w:rsidP="00D20AE9">
            <w:r>
              <w:t>CS, NB, AT</w:t>
            </w:r>
          </w:p>
        </w:tc>
        <w:tc>
          <w:tcPr>
            <w:tcW w:w="1762" w:type="dxa"/>
          </w:tcPr>
          <w:p w14:paraId="07FB7C06" w14:textId="77777777" w:rsidR="009865AC" w:rsidRDefault="00D6374D" w:rsidP="00D20AE9">
            <w:r>
              <w:t>April 2021</w:t>
            </w:r>
          </w:p>
          <w:p w14:paraId="5FCEEEBB" w14:textId="06AFDBC5" w:rsidR="00D6374D" w:rsidRDefault="00D6374D" w:rsidP="00D20AE9">
            <w:r>
              <w:t>July 2021</w:t>
            </w:r>
          </w:p>
        </w:tc>
      </w:tr>
      <w:tr w:rsidR="006C0837" w14:paraId="7B571FC5" w14:textId="77777777" w:rsidTr="006C0837">
        <w:tc>
          <w:tcPr>
            <w:tcW w:w="13948" w:type="dxa"/>
            <w:gridSpan w:val="5"/>
            <w:shd w:val="clear" w:color="auto" w:fill="E2EFD9" w:themeFill="accent6" w:themeFillTint="33"/>
          </w:tcPr>
          <w:p w14:paraId="7A3C6E0F" w14:textId="6336AC34" w:rsidR="006C0837" w:rsidRDefault="006C0837" w:rsidP="00D20AE9">
            <w:r>
              <w:t>Total Budgeted Cost:</w:t>
            </w:r>
            <w:r w:rsidR="00517B4A">
              <w:t xml:space="preserve"> C</w:t>
            </w:r>
            <w:r w:rsidR="006F7DFD">
              <w:t>osts for r</w:t>
            </w:r>
            <w:r w:rsidR="00517B4A">
              <w:t>elease time through adaptation of school priorities</w:t>
            </w:r>
            <w:r w:rsidR="006F7DFD">
              <w:t xml:space="preserve"> - £7,640</w:t>
            </w:r>
          </w:p>
        </w:tc>
      </w:tr>
      <w:tr w:rsidR="006C0837" w14:paraId="2C7E2B6A" w14:textId="77777777" w:rsidTr="006C0837">
        <w:tc>
          <w:tcPr>
            <w:tcW w:w="13948" w:type="dxa"/>
            <w:gridSpan w:val="5"/>
            <w:shd w:val="clear" w:color="auto" w:fill="FFF2CC" w:themeFill="accent4" w:themeFillTint="33"/>
          </w:tcPr>
          <w:p w14:paraId="07AA54A6" w14:textId="56591ABD" w:rsidR="006C0837" w:rsidRPr="006C0837" w:rsidRDefault="006C0837" w:rsidP="00D20AE9">
            <w:pPr>
              <w:rPr>
                <w:b/>
                <w:bCs/>
              </w:rPr>
            </w:pPr>
            <w:r w:rsidRPr="006C0837">
              <w:rPr>
                <w:b/>
                <w:bCs/>
              </w:rPr>
              <w:t>ii. Targeted Approaches</w:t>
            </w:r>
          </w:p>
        </w:tc>
      </w:tr>
      <w:tr w:rsidR="006C0837" w14:paraId="496075B5" w14:textId="77777777" w:rsidTr="009865AC">
        <w:tc>
          <w:tcPr>
            <w:tcW w:w="2788" w:type="dxa"/>
          </w:tcPr>
          <w:p w14:paraId="2CE6D373" w14:textId="3F1EE001" w:rsidR="006C0837" w:rsidRDefault="006C0837" w:rsidP="006C0837">
            <w:r w:rsidRPr="00821CAA">
              <w:rPr>
                <w:b/>
                <w:bCs/>
              </w:rPr>
              <w:t xml:space="preserve">Desired outcome </w:t>
            </w:r>
          </w:p>
        </w:tc>
        <w:tc>
          <w:tcPr>
            <w:tcW w:w="5429" w:type="dxa"/>
          </w:tcPr>
          <w:p w14:paraId="2E4AAA09" w14:textId="1E846D51" w:rsidR="006C0837" w:rsidRDefault="006C0837" w:rsidP="006C0837">
            <w:r w:rsidRPr="00821CAA">
              <w:rPr>
                <w:b/>
                <w:bCs/>
              </w:rPr>
              <w:t>Chosen approach and anticipated cost</w:t>
            </w:r>
          </w:p>
        </w:tc>
        <w:tc>
          <w:tcPr>
            <w:tcW w:w="2551" w:type="dxa"/>
          </w:tcPr>
          <w:p w14:paraId="0169EB26" w14:textId="596285EE" w:rsidR="006C0837" w:rsidRDefault="006C0837" w:rsidP="006C0837">
            <w:r w:rsidRPr="00821CAA">
              <w:rPr>
                <w:b/>
                <w:bCs/>
              </w:rPr>
              <w:t>Impact (once reviewed)</w:t>
            </w:r>
          </w:p>
        </w:tc>
        <w:tc>
          <w:tcPr>
            <w:tcW w:w="1418" w:type="dxa"/>
          </w:tcPr>
          <w:p w14:paraId="576EB60B" w14:textId="33B8DC92" w:rsidR="006C0837" w:rsidRDefault="006C0837" w:rsidP="006C0837">
            <w:r w:rsidRPr="00821CAA">
              <w:rPr>
                <w:b/>
                <w:bCs/>
              </w:rPr>
              <w:t>Staff lead</w:t>
            </w:r>
          </w:p>
        </w:tc>
        <w:tc>
          <w:tcPr>
            <w:tcW w:w="1762" w:type="dxa"/>
          </w:tcPr>
          <w:p w14:paraId="719056D7" w14:textId="510E8A63" w:rsidR="006C0837" w:rsidRDefault="006C0837" w:rsidP="006C0837">
            <w:r w:rsidRPr="00821CAA">
              <w:rPr>
                <w:b/>
                <w:bCs/>
              </w:rPr>
              <w:t>Review</w:t>
            </w:r>
            <w:r w:rsidR="00D6374D">
              <w:rPr>
                <w:b/>
                <w:bCs/>
              </w:rPr>
              <w:t xml:space="preserve"> date</w:t>
            </w:r>
          </w:p>
        </w:tc>
      </w:tr>
      <w:tr w:rsidR="006C0837" w14:paraId="064D511E" w14:textId="77777777" w:rsidTr="009865AC">
        <w:tc>
          <w:tcPr>
            <w:tcW w:w="2788" w:type="dxa"/>
          </w:tcPr>
          <w:p w14:paraId="7FA4A326" w14:textId="5220F52F" w:rsidR="006C0837" w:rsidRDefault="00F26930" w:rsidP="006C0837">
            <w:r>
              <w:t>Intervention teachers and LSAs (AT, JB, SB, JB, JD, LL, LD) run a programme of interventions in maths, phonics, reading, writing throughout KS1 and KS2.</w:t>
            </w:r>
          </w:p>
        </w:tc>
        <w:tc>
          <w:tcPr>
            <w:tcW w:w="5429" w:type="dxa"/>
          </w:tcPr>
          <w:p w14:paraId="2D9C31A8" w14:textId="77777777" w:rsidR="006C0837" w:rsidRDefault="00F26930" w:rsidP="006C0837">
            <w:r>
              <w:t>Small group interventions for RWI, S&amp;L, reading, writing and maths.</w:t>
            </w:r>
          </w:p>
          <w:p w14:paraId="6A13D440" w14:textId="6DFD686E" w:rsidR="00F26930" w:rsidRDefault="00F26930" w:rsidP="006C0837"/>
        </w:tc>
        <w:tc>
          <w:tcPr>
            <w:tcW w:w="2551" w:type="dxa"/>
          </w:tcPr>
          <w:p w14:paraId="15C28760" w14:textId="77777777" w:rsidR="006C0837" w:rsidRDefault="006C0837" w:rsidP="006C0837"/>
        </w:tc>
        <w:tc>
          <w:tcPr>
            <w:tcW w:w="1418" w:type="dxa"/>
          </w:tcPr>
          <w:p w14:paraId="3E4EB9F2" w14:textId="77777777" w:rsidR="006C0837" w:rsidRDefault="00D6374D" w:rsidP="006C0837">
            <w:r>
              <w:t>SLT</w:t>
            </w:r>
          </w:p>
          <w:p w14:paraId="784AD983" w14:textId="77777777" w:rsidR="00D6374D" w:rsidRDefault="00D6374D" w:rsidP="006C0837">
            <w:r>
              <w:t>JB</w:t>
            </w:r>
          </w:p>
          <w:p w14:paraId="62D02578" w14:textId="6B6C09E7" w:rsidR="00D6374D" w:rsidRDefault="00D6374D" w:rsidP="006C0837">
            <w:r>
              <w:t>TR</w:t>
            </w:r>
          </w:p>
        </w:tc>
        <w:tc>
          <w:tcPr>
            <w:tcW w:w="1762" w:type="dxa"/>
          </w:tcPr>
          <w:p w14:paraId="3EEBED55" w14:textId="77777777" w:rsidR="00D6374D" w:rsidRDefault="00D6374D" w:rsidP="006C0837">
            <w:r>
              <w:t>April 2021</w:t>
            </w:r>
          </w:p>
          <w:p w14:paraId="0D6567D7" w14:textId="57504ECD" w:rsidR="006C0837" w:rsidRDefault="00D6374D" w:rsidP="006C0837">
            <w:r>
              <w:t>July 2021</w:t>
            </w:r>
          </w:p>
        </w:tc>
      </w:tr>
      <w:tr w:rsidR="006C0837" w14:paraId="07F5533B" w14:textId="77777777" w:rsidTr="009865AC">
        <w:tc>
          <w:tcPr>
            <w:tcW w:w="2788" w:type="dxa"/>
          </w:tcPr>
          <w:p w14:paraId="01647CA6" w14:textId="10A830B0" w:rsidR="006C0837" w:rsidRDefault="00776164" w:rsidP="006C0837">
            <w:r>
              <w:t>Ensure children’s emotional well-being enables learning. Children feel ‘safe enough to learn’.</w:t>
            </w:r>
          </w:p>
        </w:tc>
        <w:tc>
          <w:tcPr>
            <w:tcW w:w="5429" w:type="dxa"/>
          </w:tcPr>
          <w:p w14:paraId="1259B67B" w14:textId="77777777" w:rsidR="006C0837" w:rsidRDefault="00776164" w:rsidP="006C0837">
            <w:r>
              <w:t>Re-assess Rainbow Room groups to ensure children are able to access support through targeted group work or 1:1 support.</w:t>
            </w:r>
          </w:p>
          <w:p w14:paraId="070E9B83" w14:textId="1C2683DA" w:rsidR="00776164" w:rsidRDefault="00776164" w:rsidP="006C0837">
            <w:r>
              <w:t>Boxall Profile used to identify children in most need and areas of support and development required.</w:t>
            </w:r>
          </w:p>
        </w:tc>
        <w:tc>
          <w:tcPr>
            <w:tcW w:w="2551" w:type="dxa"/>
          </w:tcPr>
          <w:p w14:paraId="5670B4B3" w14:textId="77777777" w:rsidR="006C0837" w:rsidRDefault="006C0837" w:rsidP="006C0837"/>
        </w:tc>
        <w:tc>
          <w:tcPr>
            <w:tcW w:w="1418" w:type="dxa"/>
          </w:tcPr>
          <w:p w14:paraId="243BB771" w14:textId="77777777" w:rsidR="006C0837" w:rsidRDefault="00D6374D" w:rsidP="006C0837">
            <w:r>
              <w:t>SLT</w:t>
            </w:r>
          </w:p>
          <w:p w14:paraId="64D23DC8" w14:textId="77777777" w:rsidR="00D6374D" w:rsidRDefault="00D6374D" w:rsidP="006C0837">
            <w:r>
              <w:t>Teachers</w:t>
            </w:r>
          </w:p>
          <w:p w14:paraId="3CD120A4" w14:textId="3C533680" w:rsidR="00D6374D" w:rsidRDefault="00D6374D" w:rsidP="006C0837">
            <w:r>
              <w:t>BD</w:t>
            </w:r>
          </w:p>
        </w:tc>
        <w:tc>
          <w:tcPr>
            <w:tcW w:w="1762" w:type="dxa"/>
          </w:tcPr>
          <w:p w14:paraId="4EC76678" w14:textId="77777777" w:rsidR="006C0837" w:rsidRDefault="00D6374D" w:rsidP="006C0837">
            <w:r>
              <w:t>March 2021</w:t>
            </w:r>
          </w:p>
          <w:p w14:paraId="394670A8" w14:textId="77777777" w:rsidR="00D6374D" w:rsidRDefault="00D6374D" w:rsidP="006C0837">
            <w:r>
              <w:t>May 2021</w:t>
            </w:r>
          </w:p>
          <w:p w14:paraId="3DDDFB0F" w14:textId="00ABB572" w:rsidR="00D6374D" w:rsidRDefault="00D6374D" w:rsidP="006C0837">
            <w:r>
              <w:t>July 2021</w:t>
            </w:r>
          </w:p>
        </w:tc>
      </w:tr>
      <w:tr w:rsidR="006C0837" w14:paraId="1B5BFE5A" w14:textId="77777777" w:rsidTr="009865AC">
        <w:tc>
          <w:tcPr>
            <w:tcW w:w="2788" w:type="dxa"/>
          </w:tcPr>
          <w:p w14:paraId="27FFA9CC" w14:textId="006D6280" w:rsidR="006C0837" w:rsidRDefault="00776164" w:rsidP="006C0837">
            <w:r>
              <w:t>Enhanced focus on physical development.</w:t>
            </w:r>
          </w:p>
        </w:tc>
        <w:tc>
          <w:tcPr>
            <w:tcW w:w="5429" w:type="dxa"/>
          </w:tcPr>
          <w:p w14:paraId="1621BC7F" w14:textId="3789CB07" w:rsidR="006C0837" w:rsidRDefault="00776164" w:rsidP="006C0837">
            <w:r>
              <w:t>Teachers embed outdoor and physical opportunities for learning within the curriculum and planned activities to ensure greater access to the outdoors for all.</w:t>
            </w:r>
          </w:p>
        </w:tc>
        <w:tc>
          <w:tcPr>
            <w:tcW w:w="2551" w:type="dxa"/>
          </w:tcPr>
          <w:p w14:paraId="27490F42" w14:textId="77777777" w:rsidR="006C0837" w:rsidRDefault="006C0837" w:rsidP="006C0837"/>
        </w:tc>
        <w:tc>
          <w:tcPr>
            <w:tcW w:w="1418" w:type="dxa"/>
          </w:tcPr>
          <w:p w14:paraId="613E9B19" w14:textId="77777777" w:rsidR="006C0837" w:rsidRDefault="00D6374D" w:rsidP="006C0837">
            <w:r>
              <w:t>SLT</w:t>
            </w:r>
          </w:p>
          <w:p w14:paraId="38DB1684" w14:textId="525FDC49" w:rsidR="00D6374D" w:rsidRDefault="00D6374D" w:rsidP="006C0837">
            <w:r>
              <w:t>Teachers</w:t>
            </w:r>
          </w:p>
        </w:tc>
        <w:tc>
          <w:tcPr>
            <w:tcW w:w="1762" w:type="dxa"/>
          </w:tcPr>
          <w:p w14:paraId="7C8752E9" w14:textId="77777777" w:rsidR="006C0837" w:rsidRDefault="00D6374D" w:rsidP="006C0837">
            <w:r>
              <w:t>April 2021</w:t>
            </w:r>
          </w:p>
          <w:p w14:paraId="47FBA0FE" w14:textId="37C1815D" w:rsidR="00D6374D" w:rsidRDefault="00D6374D" w:rsidP="006C0837"/>
        </w:tc>
      </w:tr>
      <w:tr w:rsidR="006C0837" w14:paraId="3821EBCF" w14:textId="77777777" w:rsidTr="006C0837">
        <w:tc>
          <w:tcPr>
            <w:tcW w:w="13948" w:type="dxa"/>
            <w:gridSpan w:val="5"/>
            <w:shd w:val="clear" w:color="auto" w:fill="E2EFD9" w:themeFill="accent6" w:themeFillTint="33"/>
          </w:tcPr>
          <w:p w14:paraId="03218618" w14:textId="3DD0761C" w:rsidR="006C0837" w:rsidRDefault="006C0837" w:rsidP="006C0837">
            <w:r>
              <w:t>Total Budgeted Cost:</w:t>
            </w:r>
            <w:r w:rsidR="00517B4A">
              <w:t xml:space="preserve"> Additional staffing costs -  </w:t>
            </w:r>
            <w:r w:rsidR="006F7DFD">
              <w:t>£19,295</w:t>
            </w:r>
          </w:p>
        </w:tc>
      </w:tr>
    </w:tbl>
    <w:p w14:paraId="5C90E3E2" w14:textId="0E194682" w:rsidR="00821CAA" w:rsidRDefault="00821CAA" w:rsidP="00D20AE9"/>
    <w:p w14:paraId="7AB2A9F6" w14:textId="332F402C" w:rsidR="00E40015" w:rsidRDefault="00E40015" w:rsidP="00D20AE9"/>
    <w:p w14:paraId="36BDB0ED" w14:textId="26393EE1" w:rsidR="00E40015" w:rsidRDefault="00E40015" w:rsidP="00D20AE9"/>
    <w:p w14:paraId="7D2DFBDA" w14:textId="77777777" w:rsidR="00E40015" w:rsidRDefault="00E40015" w:rsidP="00D20AE9"/>
    <w:tbl>
      <w:tblPr>
        <w:tblStyle w:val="TableGrid"/>
        <w:tblW w:w="0" w:type="auto"/>
        <w:tblLook w:val="04A0" w:firstRow="1" w:lastRow="0" w:firstColumn="1" w:lastColumn="0" w:noHBand="0" w:noVBand="1"/>
      </w:tblPr>
      <w:tblGrid>
        <w:gridCol w:w="3964"/>
        <w:gridCol w:w="3969"/>
        <w:gridCol w:w="3686"/>
        <w:gridCol w:w="1134"/>
        <w:gridCol w:w="1195"/>
      </w:tblGrid>
      <w:tr w:rsidR="006C0837" w14:paraId="1C464B8F" w14:textId="77777777" w:rsidTr="00E40015">
        <w:tc>
          <w:tcPr>
            <w:tcW w:w="13948" w:type="dxa"/>
            <w:gridSpan w:val="5"/>
            <w:shd w:val="clear" w:color="auto" w:fill="FFF2CC" w:themeFill="accent4" w:themeFillTint="33"/>
          </w:tcPr>
          <w:p w14:paraId="7D0DFA3F" w14:textId="3D0276FE" w:rsidR="006C0837" w:rsidRDefault="006C0837" w:rsidP="006C0837">
            <w:pPr>
              <w:pStyle w:val="ListParagraph"/>
              <w:numPr>
                <w:ilvl w:val="0"/>
                <w:numId w:val="1"/>
              </w:numPr>
            </w:pPr>
            <w:r>
              <w:t>Wider Strategies</w:t>
            </w:r>
          </w:p>
        </w:tc>
      </w:tr>
      <w:tr w:rsidR="006C0837" w14:paraId="084E1706" w14:textId="77777777" w:rsidTr="00E40015">
        <w:tc>
          <w:tcPr>
            <w:tcW w:w="3964" w:type="dxa"/>
          </w:tcPr>
          <w:p w14:paraId="093F73FD" w14:textId="5538E88D" w:rsidR="006C0837" w:rsidRDefault="006C0837" w:rsidP="006C0837">
            <w:r>
              <w:t xml:space="preserve">Desired outcome </w:t>
            </w:r>
          </w:p>
          <w:p w14:paraId="4FCD6C6A" w14:textId="3E9E4970" w:rsidR="006C0837" w:rsidRDefault="006C0837" w:rsidP="006C0837"/>
        </w:tc>
        <w:tc>
          <w:tcPr>
            <w:tcW w:w="3969" w:type="dxa"/>
          </w:tcPr>
          <w:p w14:paraId="16C4F295" w14:textId="033E5832" w:rsidR="006C0837" w:rsidRDefault="006C0837" w:rsidP="00D20AE9">
            <w:r>
              <w:t>Chosen action/approach</w:t>
            </w:r>
          </w:p>
        </w:tc>
        <w:tc>
          <w:tcPr>
            <w:tcW w:w="3686" w:type="dxa"/>
          </w:tcPr>
          <w:p w14:paraId="1C9AE9F7" w14:textId="7F6330DA" w:rsidR="006C0837" w:rsidRDefault="006C0837" w:rsidP="00D20AE9">
            <w:r>
              <w:t>Impact (once reviewed)</w:t>
            </w:r>
          </w:p>
        </w:tc>
        <w:tc>
          <w:tcPr>
            <w:tcW w:w="1134" w:type="dxa"/>
          </w:tcPr>
          <w:p w14:paraId="50EE1D40" w14:textId="77777777" w:rsidR="006C0837" w:rsidRDefault="006C0837" w:rsidP="006C0837">
            <w:r>
              <w:t>Staff</w:t>
            </w:r>
          </w:p>
          <w:p w14:paraId="7E0E662B" w14:textId="59E50687" w:rsidR="006C0837" w:rsidRDefault="006C0837" w:rsidP="006C0837">
            <w:r>
              <w:t>lead</w:t>
            </w:r>
          </w:p>
        </w:tc>
        <w:tc>
          <w:tcPr>
            <w:tcW w:w="1195" w:type="dxa"/>
          </w:tcPr>
          <w:p w14:paraId="09727DBB" w14:textId="59741ED5" w:rsidR="006C0837" w:rsidRDefault="006C0837" w:rsidP="00D20AE9">
            <w:r>
              <w:t>Review</w:t>
            </w:r>
          </w:p>
        </w:tc>
      </w:tr>
      <w:tr w:rsidR="006C0837" w14:paraId="6FA49D05" w14:textId="77777777" w:rsidTr="00E40015">
        <w:tc>
          <w:tcPr>
            <w:tcW w:w="3964" w:type="dxa"/>
          </w:tcPr>
          <w:p w14:paraId="679FE231" w14:textId="77777777" w:rsidR="006C0837" w:rsidRDefault="006C0837" w:rsidP="006C0837">
            <w:r>
              <w:t>Supporting parents and carers</w:t>
            </w:r>
          </w:p>
          <w:p w14:paraId="646B16D6" w14:textId="77777777" w:rsidR="00D30771" w:rsidRDefault="006C0837" w:rsidP="006C0837">
            <w:r>
              <w:t>Children will have greater opportunities to</w:t>
            </w:r>
            <w:r w:rsidR="00D30771">
              <w:t xml:space="preserve"> </w:t>
            </w:r>
            <w:r>
              <w:t xml:space="preserve">access learning at home. </w:t>
            </w:r>
          </w:p>
          <w:p w14:paraId="36D5FB7A" w14:textId="1E0C129F" w:rsidR="006C0837" w:rsidRDefault="006C0837" w:rsidP="00D30771">
            <w:r>
              <w:t>Home-learning</w:t>
            </w:r>
            <w:r w:rsidR="00D30771">
              <w:t xml:space="preserve"> </w:t>
            </w:r>
            <w:r>
              <w:t>opportunities will not always require parents to</w:t>
            </w:r>
            <w:r w:rsidR="00D30771">
              <w:t xml:space="preserve"> </w:t>
            </w:r>
            <w:r>
              <w:t>engage with the activities, affording the children</w:t>
            </w:r>
            <w:r w:rsidR="00D30771">
              <w:t xml:space="preserve"> </w:t>
            </w:r>
            <w:r>
              <w:t>greater independence and increasing th</w:t>
            </w:r>
            <w:r w:rsidR="00D30771">
              <w:t xml:space="preserve">e </w:t>
            </w:r>
            <w:r>
              <w:t>likelihood that parents can sustain home-learning</w:t>
            </w:r>
          </w:p>
        </w:tc>
        <w:tc>
          <w:tcPr>
            <w:tcW w:w="3969" w:type="dxa"/>
          </w:tcPr>
          <w:p w14:paraId="4A1D36EF" w14:textId="718A10BE" w:rsidR="006C0837" w:rsidRDefault="006C0837" w:rsidP="00D30771">
            <w:r>
              <w:t>Additional online learning resources purchased, such as</w:t>
            </w:r>
            <w:r w:rsidR="00D30771">
              <w:t xml:space="preserve"> Purple Mash, RWI, Oxford Owl.</w:t>
            </w:r>
          </w:p>
        </w:tc>
        <w:tc>
          <w:tcPr>
            <w:tcW w:w="3686" w:type="dxa"/>
          </w:tcPr>
          <w:p w14:paraId="5DD150D4" w14:textId="77777777" w:rsidR="006C0837" w:rsidRDefault="006C0837" w:rsidP="00D20AE9"/>
        </w:tc>
        <w:tc>
          <w:tcPr>
            <w:tcW w:w="1134" w:type="dxa"/>
          </w:tcPr>
          <w:p w14:paraId="74CA7BF3" w14:textId="77777777" w:rsidR="006C0837" w:rsidRDefault="00D30771" w:rsidP="00D20AE9">
            <w:r>
              <w:t>JR</w:t>
            </w:r>
          </w:p>
          <w:p w14:paraId="4216C555" w14:textId="43315C8B" w:rsidR="00D30771" w:rsidRDefault="00D30771" w:rsidP="00D20AE9">
            <w:r>
              <w:t>JD</w:t>
            </w:r>
          </w:p>
        </w:tc>
        <w:tc>
          <w:tcPr>
            <w:tcW w:w="1195" w:type="dxa"/>
          </w:tcPr>
          <w:p w14:paraId="7E9D326E" w14:textId="285BF3FF" w:rsidR="006C0837" w:rsidRDefault="00D30771" w:rsidP="00D20AE9">
            <w:r>
              <w:t>April 2021</w:t>
            </w:r>
          </w:p>
        </w:tc>
      </w:tr>
      <w:tr w:rsidR="006C0837" w14:paraId="4CE1C9A6" w14:textId="77777777" w:rsidTr="00E40015">
        <w:tc>
          <w:tcPr>
            <w:tcW w:w="3964" w:type="dxa"/>
          </w:tcPr>
          <w:p w14:paraId="50B0F47E" w14:textId="4408F5C5" w:rsidR="006C0837" w:rsidRDefault="006C0837" w:rsidP="006C0837">
            <w:r>
              <w:t>Access to technology</w:t>
            </w:r>
            <w:r w:rsidR="00D30771">
              <w:t xml:space="preserve"> - </w:t>
            </w:r>
            <w:r>
              <w:t>laptops are available to be loaned to families</w:t>
            </w:r>
          </w:p>
          <w:p w14:paraId="386985B9" w14:textId="3751FE2D" w:rsidR="00D30771" w:rsidRDefault="006C0837" w:rsidP="00D30771">
            <w:r>
              <w:t>without appropriate home access</w:t>
            </w:r>
            <w:r w:rsidR="00D30771">
              <w:t>.</w:t>
            </w:r>
          </w:p>
          <w:p w14:paraId="1928BAC9" w14:textId="6C135DD9" w:rsidR="006C0837" w:rsidRDefault="006C0837" w:rsidP="006C0837"/>
        </w:tc>
        <w:tc>
          <w:tcPr>
            <w:tcW w:w="3969" w:type="dxa"/>
          </w:tcPr>
          <w:p w14:paraId="26DD3443" w14:textId="23C2D1A8" w:rsidR="006C0837" w:rsidRDefault="006C0837" w:rsidP="006C0837">
            <w:r>
              <w:t>Ensure that families are identified for home</w:t>
            </w:r>
            <w:r w:rsidR="00D30771">
              <w:t xml:space="preserve"> </w:t>
            </w:r>
            <w:r>
              <w:t>learning laptops to ensure continued access to</w:t>
            </w:r>
            <w:r w:rsidR="00D30771">
              <w:t xml:space="preserve"> </w:t>
            </w:r>
            <w:r>
              <w:t>learning in case of home learning/isolation.</w:t>
            </w:r>
          </w:p>
          <w:p w14:paraId="4A926F23" w14:textId="03F1CDD0" w:rsidR="006C0837" w:rsidRDefault="006C0837" w:rsidP="006C0837"/>
        </w:tc>
        <w:tc>
          <w:tcPr>
            <w:tcW w:w="3686" w:type="dxa"/>
          </w:tcPr>
          <w:p w14:paraId="6EBE5B71" w14:textId="77777777" w:rsidR="006C0837" w:rsidRDefault="006C0837" w:rsidP="00D20AE9"/>
        </w:tc>
        <w:tc>
          <w:tcPr>
            <w:tcW w:w="1134" w:type="dxa"/>
          </w:tcPr>
          <w:p w14:paraId="3C8896EC" w14:textId="77777777" w:rsidR="006C0837" w:rsidRDefault="00D30771" w:rsidP="00D20AE9">
            <w:r>
              <w:t>SR</w:t>
            </w:r>
          </w:p>
          <w:p w14:paraId="70EF61D4" w14:textId="77777777" w:rsidR="00D30771" w:rsidRDefault="00D30771" w:rsidP="00D20AE9">
            <w:r>
              <w:t>KH</w:t>
            </w:r>
          </w:p>
          <w:p w14:paraId="17C6F411" w14:textId="78EBE483" w:rsidR="00D30771" w:rsidRDefault="00D30771" w:rsidP="00D20AE9">
            <w:r>
              <w:t>SLT</w:t>
            </w:r>
          </w:p>
        </w:tc>
        <w:tc>
          <w:tcPr>
            <w:tcW w:w="1195" w:type="dxa"/>
          </w:tcPr>
          <w:p w14:paraId="468DE6F3" w14:textId="58E0529A" w:rsidR="006C0837" w:rsidRDefault="00D30771" w:rsidP="00D20AE9">
            <w:r>
              <w:t>Ongoing</w:t>
            </w:r>
          </w:p>
        </w:tc>
      </w:tr>
      <w:tr w:rsidR="006C0837" w14:paraId="66061BCB" w14:textId="77777777" w:rsidTr="00E40015">
        <w:tc>
          <w:tcPr>
            <w:tcW w:w="12753" w:type="dxa"/>
            <w:gridSpan w:val="4"/>
            <w:shd w:val="clear" w:color="auto" w:fill="E2EFD9" w:themeFill="accent6" w:themeFillTint="33"/>
          </w:tcPr>
          <w:p w14:paraId="75FBDA7E" w14:textId="1145A3B5" w:rsidR="006C0837" w:rsidRPr="006C0837" w:rsidRDefault="006F7DFD" w:rsidP="00D20AE9">
            <w:pPr>
              <w:rPr>
                <w:b/>
                <w:bCs/>
              </w:rPr>
            </w:pPr>
            <w:r w:rsidRPr="006F7DFD">
              <w:t>Additional resources</w:t>
            </w:r>
            <w:r>
              <w:rPr>
                <w:b/>
                <w:bCs/>
              </w:rPr>
              <w:t xml:space="preserve"> - </w:t>
            </w:r>
            <w:r w:rsidRPr="006F7DFD">
              <w:t>£6</w:t>
            </w:r>
            <w:r>
              <w:t>,</w:t>
            </w:r>
            <w:r w:rsidRPr="006F7DFD">
              <w:t>570</w:t>
            </w:r>
          </w:p>
        </w:tc>
        <w:tc>
          <w:tcPr>
            <w:tcW w:w="1195" w:type="dxa"/>
            <w:shd w:val="clear" w:color="auto" w:fill="E2EFD9" w:themeFill="accent6" w:themeFillTint="33"/>
          </w:tcPr>
          <w:p w14:paraId="59F9FA59" w14:textId="77777777" w:rsidR="006C0837" w:rsidRDefault="006C0837" w:rsidP="00D20AE9"/>
        </w:tc>
      </w:tr>
      <w:tr w:rsidR="006C0837" w14:paraId="22C1B35E" w14:textId="77777777" w:rsidTr="00E40015">
        <w:tc>
          <w:tcPr>
            <w:tcW w:w="3964" w:type="dxa"/>
            <w:shd w:val="clear" w:color="auto" w:fill="E2EFD9" w:themeFill="accent6" w:themeFillTint="33"/>
          </w:tcPr>
          <w:p w14:paraId="1365376E" w14:textId="77777777" w:rsidR="006C0837" w:rsidRDefault="006C0837" w:rsidP="00D20AE9"/>
        </w:tc>
        <w:tc>
          <w:tcPr>
            <w:tcW w:w="3969" w:type="dxa"/>
            <w:tcBorders>
              <w:right w:val="single" w:sz="12" w:space="0" w:color="auto"/>
            </w:tcBorders>
            <w:shd w:val="clear" w:color="auto" w:fill="E2EFD9" w:themeFill="accent6" w:themeFillTint="33"/>
          </w:tcPr>
          <w:p w14:paraId="2D0C3407" w14:textId="77777777" w:rsidR="006C0837" w:rsidRDefault="006C0837" w:rsidP="00D20AE9"/>
        </w:tc>
        <w:tc>
          <w:tcPr>
            <w:tcW w:w="4820" w:type="dxa"/>
            <w:gridSpan w:val="2"/>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4FF7305E" w14:textId="1DAAA38A" w:rsidR="00E40015" w:rsidRDefault="00E40015" w:rsidP="00E40015">
            <w:r>
              <w:t xml:space="preserve">Cost paid through Covid Catch-Up </w:t>
            </w:r>
          </w:p>
          <w:p w14:paraId="2C7B80D1" w14:textId="2B0FCFC6" w:rsidR="006C0837" w:rsidRDefault="006C0837" w:rsidP="00E40015"/>
        </w:tc>
        <w:tc>
          <w:tcPr>
            <w:tcW w:w="119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1909A9BF" w14:textId="48893E90" w:rsidR="006C0837" w:rsidRDefault="00E40015" w:rsidP="00D20AE9">
            <w:r>
              <w:t>£</w:t>
            </w:r>
            <w:r w:rsidR="006F7DFD">
              <w:t>24,960</w:t>
            </w:r>
          </w:p>
        </w:tc>
      </w:tr>
      <w:tr w:rsidR="006C0837" w14:paraId="7CAC5832" w14:textId="77777777" w:rsidTr="00E40015">
        <w:tc>
          <w:tcPr>
            <w:tcW w:w="3964" w:type="dxa"/>
            <w:shd w:val="clear" w:color="auto" w:fill="E2EFD9" w:themeFill="accent6" w:themeFillTint="33"/>
          </w:tcPr>
          <w:p w14:paraId="3E05C585" w14:textId="77777777" w:rsidR="006C0837" w:rsidRDefault="006C0837" w:rsidP="00D20AE9"/>
        </w:tc>
        <w:tc>
          <w:tcPr>
            <w:tcW w:w="3969" w:type="dxa"/>
            <w:tcBorders>
              <w:right w:val="single" w:sz="12" w:space="0" w:color="auto"/>
            </w:tcBorders>
            <w:shd w:val="clear" w:color="auto" w:fill="E2EFD9" w:themeFill="accent6" w:themeFillTint="33"/>
          </w:tcPr>
          <w:p w14:paraId="7E774572" w14:textId="77777777" w:rsidR="006C0837" w:rsidRDefault="006C0837" w:rsidP="00D20AE9"/>
        </w:tc>
        <w:tc>
          <w:tcPr>
            <w:tcW w:w="4820" w:type="dxa"/>
            <w:gridSpan w:val="2"/>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4CDFD00B" w14:textId="0D53CDEF" w:rsidR="00E40015" w:rsidRDefault="00E40015" w:rsidP="00E40015">
            <w:r>
              <w:t xml:space="preserve">Cost paid through school budget </w:t>
            </w:r>
          </w:p>
          <w:p w14:paraId="40DD4C1C" w14:textId="77777777" w:rsidR="006C0837" w:rsidRDefault="006C0837" w:rsidP="00D20AE9"/>
        </w:tc>
        <w:tc>
          <w:tcPr>
            <w:tcW w:w="119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4BDB3EE" w14:textId="4B512CAD" w:rsidR="006C0837" w:rsidRDefault="00E40015" w:rsidP="00D20AE9">
            <w:r>
              <w:t>£</w:t>
            </w:r>
            <w:r w:rsidR="006F7DFD">
              <w:t>8,545</w:t>
            </w:r>
          </w:p>
        </w:tc>
      </w:tr>
      <w:tr w:rsidR="006C0837" w14:paraId="0E1AA28D" w14:textId="77777777" w:rsidTr="00E40015">
        <w:tc>
          <w:tcPr>
            <w:tcW w:w="3964" w:type="dxa"/>
            <w:shd w:val="clear" w:color="auto" w:fill="E2EFD9" w:themeFill="accent6" w:themeFillTint="33"/>
          </w:tcPr>
          <w:p w14:paraId="62E099B4" w14:textId="77777777" w:rsidR="006C0837" w:rsidRDefault="006C0837" w:rsidP="00D20AE9"/>
        </w:tc>
        <w:tc>
          <w:tcPr>
            <w:tcW w:w="3969" w:type="dxa"/>
            <w:tcBorders>
              <w:right w:val="single" w:sz="12" w:space="0" w:color="auto"/>
            </w:tcBorders>
            <w:shd w:val="clear" w:color="auto" w:fill="E2EFD9" w:themeFill="accent6" w:themeFillTint="33"/>
          </w:tcPr>
          <w:p w14:paraId="5D756767" w14:textId="77777777" w:rsidR="006C0837" w:rsidRDefault="006C0837" w:rsidP="00D20AE9"/>
        </w:tc>
        <w:tc>
          <w:tcPr>
            <w:tcW w:w="4820" w:type="dxa"/>
            <w:gridSpan w:val="2"/>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12F56567" w14:textId="18A2A19E" w:rsidR="006C0837" w:rsidRDefault="00E40015" w:rsidP="00D20AE9">
            <w:r>
              <w:t>Total budgeted cost</w:t>
            </w:r>
          </w:p>
        </w:tc>
        <w:tc>
          <w:tcPr>
            <w:tcW w:w="119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6B3FEAAB" w14:textId="2C9725D2" w:rsidR="006C0837" w:rsidRDefault="006F7DFD" w:rsidP="00D20AE9">
            <w:r>
              <w:t>£33,505</w:t>
            </w:r>
          </w:p>
        </w:tc>
      </w:tr>
    </w:tbl>
    <w:p w14:paraId="436DEEB6" w14:textId="77777777" w:rsidR="006C0837" w:rsidRDefault="006C0837" w:rsidP="00D20AE9"/>
    <w:sectPr w:rsidR="006C0837" w:rsidSect="00821CA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549D"/>
    <w:multiLevelType w:val="hybridMultilevel"/>
    <w:tmpl w:val="C4CA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7705E"/>
    <w:multiLevelType w:val="hybridMultilevel"/>
    <w:tmpl w:val="1B80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A59DF"/>
    <w:multiLevelType w:val="hybridMultilevel"/>
    <w:tmpl w:val="5D8AFE16"/>
    <w:lvl w:ilvl="0" w:tplc="0498AB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4E3AF7"/>
    <w:multiLevelType w:val="hybridMultilevel"/>
    <w:tmpl w:val="4FF2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742A2"/>
    <w:multiLevelType w:val="hybridMultilevel"/>
    <w:tmpl w:val="20D2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A76C5"/>
    <w:multiLevelType w:val="hybridMultilevel"/>
    <w:tmpl w:val="5620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E57491"/>
    <w:multiLevelType w:val="hybridMultilevel"/>
    <w:tmpl w:val="655C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AE9"/>
    <w:rsid w:val="00042CF2"/>
    <w:rsid w:val="00057FF3"/>
    <w:rsid w:val="0006404F"/>
    <w:rsid w:val="0006542E"/>
    <w:rsid w:val="00183A90"/>
    <w:rsid w:val="002603A7"/>
    <w:rsid w:val="002A3C8A"/>
    <w:rsid w:val="00414F67"/>
    <w:rsid w:val="004F436E"/>
    <w:rsid w:val="00517B4A"/>
    <w:rsid w:val="005312E5"/>
    <w:rsid w:val="005454B9"/>
    <w:rsid w:val="005F4FF7"/>
    <w:rsid w:val="006C0837"/>
    <w:rsid w:val="006C1135"/>
    <w:rsid w:val="006F7DFD"/>
    <w:rsid w:val="00776164"/>
    <w:rsid w:val="00821CAA"/>
    <w:rsid w:val="008A437A"/>
    <w:rsid w:val="008B6EC1"/>
    <w:rsid w:val="009565CE"/>
    <w:rsid w:val="009865AC"/>
    <w:rsid w:val="00AA21E4"/>
    <w:rsid w:val="00AD4453"/>
    <w:rsid w:val="00C33329"/>
    <w:rsid w:val="00D20AE9"/>
    <w:rsid w:val="00D30771"/>
    <w:rsid w:val="00D6374D"/>
    <w:rsid w:val="00E40015"/>
    <w:rsid w:val="00EA2A32"/>
    <w:rsid w:val="00F06ABC"/>
    <w:rsid w:val="00F26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5CBF"/>
  <w15:chartTrackingRefBased/>
  <w15:docId w15:val="{BB0BC334-2DF6-4A52-A79A-040C127A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837"/>
    <w:pPr>
      <w:ind w:left="720"/>
      <w:contextualSpacing/>
    </w:pPr>
  </w:style>
  <w:style w:type="paragraph" w:styleId="NormalWeb">
    <w:name w:val="Normal (Web)"/>
    <w:basedOn w:val="Normal"/>
    <w:uiPriority w:val="99"/>
    <w:unhideWhenUsed/>
    <w:rsid w:val="008A43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75825">
      <w:bodyDiv w:val="1"/>
      <w:marLeft w:val="0"/>
      <w:marRight w:val="0"/>
      <w:marTop w:val="0"/>
      <w:marBottom w:val="0"/>
      <w:divBdr>
        <w:top w:val="none" w:sz="0" w:space="0" w:color="auto"/>
        <w:left w:val="none" w:sz="0" w:space="0" w:color="auto"/>
        <w:bottom w:val="none" w:sz="0" w:space="0" w:color="auto"/>
        <w:right w:val="none" w:sz="0" w:space="0" w:color="auto"/>
      </w:divBdr>
      <w:divsChild>
        <w:div w:id="486095026">
          <w:marLeft w:val="0"/>
          <w:marRight w:val="0"/>
          <w:marTop w:val="0"/>
          <w:marBottom w:val="0"/>
          <w:divBdr>
            <w:top w:val="none" w:sz="0" w:space="0" w:color="auto"/>
            <w:left w:val="none" w:sz="0" w:space="0" w:color="auto"/>
            <w:bottom w:val="none" w:sz="0" w:space="0" w:color="auto"/>
            <w:right w:val="none" w:sz="0" w:space="0" w:color="auto"/>
          </w:divBdr>
        </w:div>
        <w:div w:id="316157718">
          <w:marLeft w:val="0"/>
          <w:marRight w:val="0"/>
          <w:marTop w:val="0"/>
          <w:marBottom w:val="0"/>
          <w:divBdr>
            <w:top w:val="none" w:sz="0" w:space="0" w:color="auto"/>
            <w:left w:val="none" w:sz="0" w:space="0" w:color="auto"/>
            <w:bottom w:val="none" w:sz="0" w:space="0" w:color="auto"/>
            <w:right w:val="none" w:sz="0" w:space="0" w:color="auto"/>
          </w:divBdr>
        </w:div>
        <w:div w:id="1682199108">
          <w:marLeft w:val="0"/>
          <w:marRight w:val="0"/>
          <w:marTop w:val="0"/>
          <w:marBottom w:val="0"/>
          <w:divBdr>
            <w:top w:val="none" w:sz="0" w:space="0" w:color="auto"/>
            <w:left w:val="none" w:sz="0" w:space="0" w:color="auto"/>
            <w:bottom w:val="none" w:sz="0" w:space="0" w:color="auto"/>
            <w:right w:val="none" w:sz="0" w:space="0" w:color="auto"/>
          </w:divBdr>
        </w:div>
        <w:div w:id="454493137">
          <w:marLeft w:val="0"/>
          <w:marRight w:val="0"/>
          <w:marTop w:val="0"/>
          <w:marBottom w:val="0"/>
          <w:divBdr>
            <w:top w:val="none" w:sz="0" w:space="0" w:color="auto"/>
            <w:left w:val="none" w:sz="0" w:space="0" w:color="auto"/>
            <w:bottom w:val="none" w:sz="0" w:space="0" w:color="auto"/>
            <w:right w:val="none" w:sz="0" w:space="0" w:color="auto"/>
          </w:divBdr>
        </w:div>
        <w:div w:id="1734816292">
          <w:marLeft w:val="0"/>
          <w:marRight w:val="0"/>
          <w:marTop w:val="0"/>
          <w:marBottom w:val="0"/>
          <w:divBdr>
            <w:top w:val="none" w:sz="0" w:space="0" w:color="auto"/>
            <w:left w:val="none" w:sz="0" w:space="0" w:color="auto"/>
            <w:bottom w:val="none" w:sz="0" w:space="0" w:color="auto"/>
            <w:right w:val="none" w:sz="0" w:space="0" w:color="auto"/>
          </w:divBdr>
        </w:div>
      </w:divsChild>
    </w:div>
    <w:div w:id="923731673">
      <w:bodyDiv w:val="1"/>
      <w:marLeft w:val="0"/>
      <w:marRight w:val="0"/>
      <w:marTop w:val="0"/>
      <w:marBottom w:val="0"/>
      <w:divBdr>
        <w:top w:val="none" w:sz="0" w:space="0" w:color="auto"/>
        <w:left w:val="none" w:sz="0" w:space="0" w:color="auto"/>
        <w:bottom w:val="none" w:sz="0" w:space="0" w:color="auto"/>
        <w:right w:val="none" w:sz="0" w:space="0" w:color="auto"/>
      </w:divBdr>
    </w:div>
    <w:div w:id="1841041783">
      <w:bodyDiv w:val="1"/>
      <w:marLeft w:val="0"/>
      <w:marRight w:val="0"/>
      <w:marTop w:val="0"/>
      <w:marBottom w:val="0"/>
      <w:divBdr>
        <w:top w:val="none" w:sz="0" w:space="0" w:color="auto"/>
        <w:left w:val="none" w:sz="0" w:space="0" w:color="auto"/>
        <w:bottom w:val="none" w:sz="0" w:space="0" w:color="auto"/>
        <w:right w:val="none" w:sz="0" w:space="0" w:color="auto"/>
      </w:divBdr>
    </w:div>
    <w:div w:id="2046558985">
      <w:bodyDiv w:val="1"/>
      <w:marLeft w:val="0"/>
      <w:marRight w:val="0"/>
      <w:marTop w:val="0"/>
      <w:marBottom w:val="0"/>
      <w:divBdr>
        <w:top w:val="none" w:sz="0" w:space="0" w:color="auto"/>
        <w:left w:val="none" w:sz="0" w:space="0" w:color="auto"/>
        <w:bottom w:val="none" w:sz="0" w:space="0" w:color="auto"/>
        <w:right w:val="none" w:sz="0" w:space="0" w:color="auto"/>
      </w:divBdr>
      <w:divsChild>
        <w:div w:id="1395926956">
          <w:marLeft w:val="0"/>
          <w:marRight w:val="0"/>
          <w:marTop w:val="0"/>
          <w:marBottom w:val="0"/>
          <w:divBdr>
            <w:top w:val="none" w:sz="0" w:space="0" w:color="auto"/>
            <w:left w:val="none" w:sz="0" w:space="0" w:color="auto"/>
            <w:bottom w:val="none" w:sz="0" w:space="0" w:color="auto"/>
            <w:right w:val="none" w:sz="0" w:space="0" w:color="auto"/>
          </w:divBdr>
        </w:div>
        <w:div w:id="387072419">
          <w:marLeft w:val="0"/>
          <w:marRight w:val="0"/>
          <w:marTop w:val="0"/>
          <w:marBottom w:val="0"/>
          <w:divBdr>
            <w:top w:val="none" w:sz="0" w:space="0" w:color="auto"/>
            <w:left w:val="none" w:sz="0" w:space="0" w:color="auto"/>
            <w:bottom w:val="none" w:sz="0" w:space="0" w:color="auto"/>
            <w:right w:val="none" w:sz="0" w:space="0" w:color="auto"/>
          </w:divBdr>
        </w:div>
        <w:div w:id="368841105">
          <w:marLeft w:val="0"/>
          <w:marRight w:val="0"/>
          <w:marTop w:val="0"/>
          <w:marBottom w:val="0"/>
          <w:divBdr>
            <w:top w:val="none" w:sz="0" w:space="0" w:color="auto"/>
            <w:left w:val="none" w:sz="0" w:space="0" w:color="auto"/>
            <w:bottom w:val="none" w:sz="0" w:space="0" w:color="auto"/>
            <w:right w:val="none" w:sz="0" w:space="0" w:color="auto"/>
          </w:divBdr>
        </w:div>
        <w:div w:id="2047173522">
          <w:marLeft w:val="0"/>
          <w:marRight w:val="0"/>
          <w:marTop w:val="0"/>
          <w:marBottom w:val="0"/>
          <w:divBdr>
            <w:top w:val="none" w:sz="0" w:space="0" w:color="auto"/>
            <w:left w:val="none" w:sz="0" w:space="0" w:color="auto"/>
            <w:bottom w:val="none" w:sz="0" w:space="0" w:color="auto"/>
            <w:right w:val="none" w:sz="0" w:space="0" w:color="auto"/>
          </w:divBdr>
        </w:div>
        <w:div w:id="1943878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306E9-33CD-4FA1-8935-D88472E3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Rees</dc:creator>
  <cp:keywords/>
  <dc:description/>
  <cp:lastModifiedBy>Sue Rees</cp:lastModifiedBy>
  <cp:revision>2</cp:revision>
  <dcterms:created xsi:type="dcterms:W3CDTF">2021-09-08T09:11:00Z</dcterms:created>
  <dcterms:modified xsi:type="dcterms:W3CDTF">2021-09-08T09:11:00Z</dcterms:modified>
</cp:coreProperties>
</file>